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3a98" w14:textId="2273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загрязнение окружающей среды по городу Алматы и ставок платы за использование особо охраняемой природной территории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Алматинского городского Маслихата III созыва N 17 от 24 декабря 2003 года. Зарегистрировано Управлением юстиции города Алматы 31 декабря 2003 года за N 576.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Кодекса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платежей в бюджет (Налоговый кодекс)" от 12 июня 2001 года N 209-II и представлением акима города Алматы Маслихат города Алматы III-го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платежей за загрязнение окружающей среды по городу Алматы на 2004 год, приложение N 1,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ставки платы за использование особо охраняемой природной территории Государственный природный парк "Медеу" местного значения на 2004 год (вход, въезд, пребывание), приложениеN  3.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утратившими силу приложения N 5, 6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Решения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ХIV-й сессии Алматинского городского Маслихата II-го созыва от 29 декабря 2001 года "Об утверждении налоговых ставок на земельные участки, сборов и платежей по городу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экологии и вопросам ЧС (Биртанов А.Б.), председателя налогового комитета по городу Алматы Баедилова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ІІІ-го созыва                 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ІV-й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24 декабря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загрязнение окружающей среды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городу 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93"/>
        <w:gridCol w:w="2793"/>
        <w:gridCol w:w="19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размещение отходов производства и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токсичности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класса токсичности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1 362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токсичности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2 724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токсичности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токсичности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радиоактивных отходов (РАО)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сброс загрязняющих веществ в водные объекты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выбросы от стационарных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выбросы от передвижных источников работающих на: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Неэтилированном бензине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Дизельном топливе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Сжиженном нефтяном газе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Сжатом природном газе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
</w:t>
            </w:r>
          </w:p>
        </w:tc>
      </w:tr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загрязнение атмосферного воздуха города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иногородним транспортом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Легковым, работающим на неэтилированном бензине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Грузовым и автобусам, работающим на неэтилированном бензине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использованием средств снижения 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Грузовым и автобусам, работающим на дизельном топливе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использованием средств снижения 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
</w:t>
            </w:r>
          </w:p>
        </w:tc>
      </w:tr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загрязнение атмосферного воздуха передвижными источниками при использовании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  с содержанием серы более 0,2%  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ІІІ-го созыва                 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ІV-й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24 декабря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загрязнение окружающей среды по городу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(за снос зеленых насаждений)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3"/>
        <w:gridCol w:w="3233"/>
        <w:gridCol w:w="241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Восстановительная стоимость за вынужденный снос зеленых насаждений: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голосеменного дерева с медленным нарастанием кроны (ель канадская, ель колючая, ель европейская, ель тяньшанская, можжевельник обыкновенный, туя западная)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193781
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голосеменного дерева с умеренным нарастанием кроны (сосна желтая, сосна крымская, сосна обыкновенная, можжевельник варгинекий, плосковеточник восточный)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медленным нарастанием кроны (дуб черешчатый, конский каштан обыкновенный, орех грецкий, орех серый, орех черный)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умеренным нарастанием кроны (боярышники кровавокрасный и мягковатый, вязы Андросова и гладкий, гледичия трехколючковая, катальпа прекрасная, клен остролистный, лиственницы сибирская и даурская, ясени ланцентный и согдианский)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
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быстрым нарастанием кроны и ограниченной длительности жизнедеятельности (абрикос обыкновенный, береза повислая, вишня домашняя, вяз приземистый, груша домашняя, ивы белая и вавилонская, клены Гиннала, полевой, Семенова, татарский и ясенелистный, лох остроплодный, тополя белый, пирамидальный, канадекий и черный, шелковицы белая и черная, яблони домашняя и Сиверса)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кустарника (можжевельники, плосковеточник, туя, магония, самшит)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  кустарника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двухрядной вечнозеленой изгороди (туя, плосковеточник)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однорядной вечнозеленой изгороди (туя, плосковеточник)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двухрядной листопадной "живой изгороди"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однорядной листопадной "живой изгороди"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цветника из многолетников, включая розарии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не менее 80%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50-80%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  50%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газона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Партерный газон  проективные покрытия не менее 90%, сорная растительность менее 10%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газон  проективные покрытия не менее 80%, сорная растительность менее 10-20%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газон искусственный газон с долей сорных растений более 20% или участки естественной луговой растительности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 
</w:t>
      </w:r>
      <w:r>
        <w:rPr>
          <w:rFonts w:ascii="Times New Roman"/>
          <w:b/>
          <w:i w:val="false"/>
          <w:color w:val="000000"/>
          <w:sz w:val="28"/>
        </w:rPr>
        <w:t>
восстановительная стоимость отдельно стоящих деревьев определяется по диаметру ствола на высоте 1,3 метра от уровня земли.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ІІІ-го созыва                 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N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ІV-й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III-го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24 декабря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использование особо охраняемой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природной территории Государственный природный парк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"Медеу" местного значения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133"/>
        <w:gridCol w:w="3713"/>
        <w:gridCol w:w="321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платы в соответствии с МРП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и рекреационных целях 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автотранспорт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с маршрутных автобусов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проживающих или имеющих дачные участки на территории ОППТ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работающих на территории ООПТ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привлекаемый на мероприятия на территории ООПТ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тенге/7дней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 (проведение научных исследований);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и учебных целях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показ объектов неживой природы, растений и животных, объектов историко-культурного наследия  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учебных экскурсий и занятий, производственных практик учащихся и студентов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за использование символики особо охраняемых природных территорий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 территориальным органом по регулированию естественных монополий.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ІV-й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ІІІ-го созыва                 А.Попелюшко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