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c211" w14:textId="93dc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расчету ставки прибыли на регулируемую базу задействованных активов субъектов естественной монополии, оказывающих услуги по транспортировке нефти по магистральным трубопроводам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и защите конкуренции от 5 июля 2004 года N 304-ОД. Зарегистрирован в Министерстве юстиции Республики Казахстан 11 августа 2004 года N 2997.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приказываю: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приказом Председателя Агентства РК по регулированию естественных монополий от 26.02.2009 </w:t>
      </w:r>
      <w:r>
        <w:rPr>
          <w:rFonts w:ascii="Times New Roman"/>
          <w:b w:val="false"/>
          <w:i w:val="false"/>
          <w:color w:val="000000"/>
          <w:sz w:val="28"/>
        </w:rPr>
        <w:t xml:space="preserve">№ 67-ОД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Утвердить прилагаемую Инструкцию по расчету ставки прибыли на регулируемую базу задействованных активов субъектов естественной монополии, оказывающих услуги по транспортировке нефти по магистральным трубопроводам. </w:t>
      </w:r>
    </w:p>
    <w:bookmarkEnd w:id="1"/>
    <w:p>
      <w:pPr>
        <w:spacing w:after="0"/>
        <w:ind w:left="0"/>
        <w:jc w:val="both"/>
      </w:pPr>
      <w:r>
        <w:rPr>
          <w:rFonts w:ascii="Times New Roman"/>
          <w:b w:val="false"/>
          <w:i w:val="false"/>
          <w:color w:val="000000"/>
          <w:sz w:val="28"/>
        </w:rPr>
        <w:t xml:space="preserve">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и защите конкуренции (Алиев И.Ш.)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3.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(Токарева М. А.) после государственной регистрации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акционерного общества "КазТрансОйл" и закрытого акционерного общества "СЗТК МунайТас". </w:t>
      </w:r>
    </w:p>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и минеральных   </w:t>
      </w:r>
    </w:p>
    <w:p>
      <w:pPr>
        <w:spacing w:after="0"/>
        <w:ind w:left="0"/>
        <w:jc w:val="both"/>
      </w:pPr>
      <w:r>
        <w:rPr>
          <w:rFonts w:ascii="Times New Roman"/>
          <w:b w:val="false"/>
          <w:i w:val="false"/>
          <w:color w:val="000000"/>
          <w:sz w:val="28"/>
        </w:rPr>
        <w:t xml:space="preserve">
      ресурсов Республики Казахстан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14 июля 2004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 и защите конкуренции</w:t>
            </w:r>
            <w:r>
              <w:br/>
            </w:r>
            <w:r>
              <w:rPr>
                <w:rFonts w:ascii="Times New Roman"/>
                <w:b w:val="false"/>
                <w:i w:val="false"/>
                <w:color w:val="000000"/>
                <w:sz w:val="20"/>
              </w:rPr>
              <w:t>от 5 июля 2004 года N 304-ОД</w:t>
            </w:r>
            <w:r>
              <w:br/>
            </w:r>
            <w:r>
              <w:rPr>
                <w:rFonts w:ascii="Times New Roman"/>
                <w:b w:val="false"/>
                <w:i w:val="false"/>
                <w:color w:val="000000"/>
                <w:sz w:val="20"/>
              </w:rPr>
              <w:t>"Об утверждении Инструкции</w:t>
            </w:r>
            <w:r>
              <w:br/>
            </w:r>
            <w:r>
              <w:rPr>
                <w:rFonts w:ascii="Times New Roman"/>
                <w:b w:val="false"/>
                <w:i w:val="false"/>
                <w:color w:val="000000"/>
                <w:sz w:val="20"/>
              </w:rPr>
              <w:t>по расчету ставки прибыли на регулируемую</w:t>
            </w:r>
            <w:r>
              <w:br/>
            </w:r>
            <w:r>
              <w:rPr>
                <w:rFonts w:ascii="Times New Roman"/>
                <w:b w:val="false"/>
                <w:i w:val="false"/>
                <w:color w:val="000000"/>
                <w:sz w:val="20"/>
              </w:rPr>
              <w:t>базу задействованных активов субъектов</w:t>
            </w:r>
            <w:r>
              <w:br/>
            </w:r>
            <w:r>
              <w:rPr>
                <w:rFonts w:ascii="Times New Roman"/>
                <w:b w:val="false"/>
                <w:i w:val="false"/>
                <w:color w:val="000000"/>
                <w:sz w:val="20"/>
              </w:rPr>
              <w:t>естественной монополии, оказывающих услуги</w:t>
            </w:r>
            <w:r>
              <w:br/>
            </w:r>
            <w:r>
              <w:rPr>
                <w:rFonts w:ascii="Times New Roman"/>
                <w:b w:val="false"/>
                <w:i w:val="false"/>
                <w:color w:val="000000"/>
                <w:sz w:val="20"/>
              </w:rPr>
              <w:t>по транспортировке нефти по</w:t>
            </w:r>
            <w:r>
              <w:br/>
            </w:r>
            <w:r>
              <w:rPr>
                <w:rFonts w:ascii="Times New Roman"/>
                <w:b w:val="false"/>
                <w:i w:val="false"/>
                <w:color w:val="000000"/>
                <w:sz w:val="20"/>
              </w:rPr>
              <w:t>магистральным трубопроводам"</w:t>
            </w:r>
          </w:p>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по расчету ставки прибыли на регулируемую базу</w:t>
      </w:r>
      <w:r>
        <w:br/>
      </w:r>
      <w:r>
        <w:rPr>
          <w:rFonts w:ascii="Times New Roman"/>
          <w:b/>
          <w:i w:val="false"/>
          <w:color w:val="000000"/>
        </w:rPr>
        <w:t xml:space="preserve">задействованных активов субъектов естественной монополии, </w:t>
      </w:r>
      <w:r>
        <w:br/>
      </w:r>
      <w:r>
        <w:rPr>
          <w:rFonts w:ascii="Times New Roman"/>
          <w:b/>
          <w:i w:val="false"/>
          <w:color w:val="000000"/>
        </w:rPr>
        <w:t>оказывающих услуги по транспортировке нефти</w:t>
      </w:r>
      <w:r>
        <w:br/>
      </w:r>
      <w:r>
        <w:rPr>
          <w:rFonts w:ascii="Times New Roman"/>
          <w:b/>
          <w:i w:val="false"/>
          <w:color w:val="000000"/>
        </w:rPr>
        <w:t>по магистральным трубопроводам</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Инструкция по расчету ставки прибыли на регулируемую базу задействованных активов субъектов естественной монополии, оказывающих услуги по транспортировке нефти по магистральным трубопроводам,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и иными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регулированию естественных монополий от 26.02.2009 </w:t>
      </w:r>
      <w:r>
        <w:rPr>
          <w:rFonts w:ascii="Times New Roman"/>
          <w:b w:val="false"/>
          <w:i w:val="false"/>
          <w:color w:val="000000"/>
          <w:sz w:val="28"/>
        </w:rPr>
        <w:t xml:space="preserve">№ 67-ОД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Инструкция детализирует механизм расчета допустимого уровня прибыли, входящего в состав тарифов субъектов естественной монополии, оказывающих услуги по транспортировке нефти по магистральным трубопроводам, и учитываемого при их расчете и утверждении, в том числе на средне- и долгосрочный период. </w:t>
      </w:r>
    </w:p>
    <w:p>
      <w:pPr>
        <w:spacing w:after="0"/>
        <w:ind w:left="0"/>
        <w:jc w:val="both"/>
      </w:pPr>
      <w:r>
        <w:rPr>
          <w:rFonts w:ascii="Times New Roman"/>
          <w:b w:val="false"/>
          <w:i w:val="false"/>
          <w:color w:val="000000"/>
          <w:sz w:val="28"/>
        </w:rPr>
        <w:t xml:space="preserve">
      3. Инструкция вводится с целью обоснованного расчета и возможности получения прибыли, обеспечивающей эффективное функционирование субъектов естественной монополии, оказывающих услуги по транспортировке нефти по магистральным трубопроводам. </w:t>
      </w:r>
    </w:p>
    <w:p>
      <w:pPr>
        <w:spacing w:after="0"/>
        <w:ind w:left="0"/>
        <w:jc w:val="both"/>
      </w:pPr>
      <w:r>
        <w:rPr>
          <w:rFonts w:ascii="Times New Roman"/>
          <w:b w:val="false"/>
          <w:i w:val="false"/>
          <w:color w:val="000000"/>
          <w:sz w:val="28"/>
        </w:rPr>
        <w:t xml:space="preserve">
      4. Ставка прибыли на регулируемую базу задействованных активов определяется уполномоченным органом при рассмотрении и утверждении тарифов нефтепроводной организации. </w:t>
      </w:r>
    </w:p>
    <w:p>
      <w:pPr>
        <w:spacing w:after="0"/>
        <w:ind w:left="0"/>
        <w:jc w:val="both"/>
      </w:pPr>
      <w:r>
        <w:rPr>
          <w:rFonts w:ascii="Times New Roman"/>
          <w:b w:val="false"/>
          <w:i w:val="false"/>
          <w:color w:val="000000"/>
          <w:sz w:val="28"/>
        </w:rPr>
        <w:t xml:space="preserve">
      5. В Инструкции используются следующие основные понятия: </w:t>
      </w:r>
    </w:p>
    <w:p>
      <w:pPr>
        <w:spacing w:after="0"/>
        <w:ind w:left="0"/>
        <w:jc w:val="both"/>
      </w:pPr>
      <w:r>
        <w:rPr>
          <w:rFonts w:ascii="Times New Roman"/>
          <w:b w:val="false"/>
          <w:i w:val="false"/>
          <w:color w:val="000000"/>
          <w:sz w:val="28"/>
        </w:rPr>
        <w:t xml:space="preserve">
      безрисковая ставка доходности - годовая ставка доходности 20-летних облигаций Казначейства США; </w:t>
      </w:r>
    </w:p>
    <w:p>
      <w:pPr>
        <w:spacing w:after="0"/>
        <w:ind w:left="0"/>
        <w:jc w:val="both"/>
      </w:pPr>
      <w:r>
        <w:rPr>
          <w:rFonts w:ascii="Times New Roman"/>
          <w:b w:val="false"/>
          <w:i w:val="false"/>
          <w:color w:val="000000"/>
          <w:sz w:val="28"/>
        </w:rPr>
        <w:t xml:space="preserve">
      допустимый уровень прибыли - прибыль (чистый доход после налогообложения), входящая в состав тарифа, которую нефтепроводная организация имеет право получить для эффективного функционирования и улучшения качества предоставления услуг по транспортировке нефти по магистральным трубопроводам; </w:t>
      </w:r>
    </w:p>
    <w:p>
      <w:pPr>
        <w:spacing w:after="0"/>
        <w:ind w:left="0"/>
        <w:jc w:val="both"/>
      </w:pPr>
      <w:r>
        <w:rPr>
          <w:rFonts w:ascii="Times New Roman"/>
          <w:b w:val="false"/>
          <w:i w:val="false"/>
          <w:color w:val="000000"/>
          <w:sz w:val="28"/>
        </w:rPr>
        <w:t xml:space="preserve">
      заемный капитал - обязательства нефтепроводной организации по полученным кредитам, за исключением кредитов на пополнение оборотных средств,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w:t>
      </w:r>
    </w:p>
    <w:p>
      <w:pPr>
        <w:spacing w:after="0"/>
        <w:ind w:left="0"/>
        <w:jc w:val="both"/>
      </w:pPr>
      <w:r>
        <w:rPr>
          <w:rFonts w:ascii="Times New Roman"/>
          <w:b w:val="false"/>
          <w:i w:val="false"/>
          <w:color w:val="000000"/>
          <w:sz w:val="28"/>
        </w:rPr>
        <w:t xml:space="preserve">
      компетентный орган - государственный орган, осуществляющий регулирование в отрасли нефтепроводного транспорта; </w:t>
      </w:r>
    </w:p>
    <w:p>
      <w:pPr>
        <w:spacing w:after="0"/>
        <w:ind w:left="0"/>
        <w:jc w:val="both"/>
      </w:pPr>
      <w:r>
        <w:rPr>
          <w:rFonts w:ascii="Times New Roman"/>
          <w:b w:val="false"/>
          <w:i w:val="false"/>
          <w:color w:val="000000"/>
          <w:sz w:val="28"/>
        </w:rPr>
        <w:t xml:space="preserve">
      нефтепроводная организация - субъект естественной монополии, оказывающий услуги по транспортировке нефти по магистральным трубопроводам; </w:t>
      </w:r>
    </w:p>
    <w:p>
      <w:pPr>
        <w:spacing w:after="0"/>
        <w:ind w:left="0"/>
        <w:jc w:val="both"/>
      </w:pPr>
      <w:r>
        <w:rPr>
          <w:rFonts w:ascii="Times New Roman"/>
          <w:b w:val="false"/>
          <w:i w:val="false"/>
          <w:color w:val="000000"/>
          <w:sz w:val="28"/>
        </w:rPr>
        <w:t xml:space="preserve">
      отчетный период - финансовый год, предшествующий дате подачи заявки на установление или изменение тарифов на услуги нефтепроводной организации; </w:t>
      </w:r>
    </w:p>
    <w:p>
      <w:pPr>
        <w:spacing w:after="0"/>
        <w:ind w:left="0"/>
        <w:jc w:val="both"/>
      </w:pPr>
      <w:r>
        <w:rPr>
          <w:rFonts w:ascii="Times New Roman"/>
          <w:b w:val="false"/>
          <w:i w:val="false"/>
          <w:color w:val="000000"/>
          <w:sz w:val="28"/>
        </w:rPr>
        <w:t xml:space="preserve">
      регулируемая база задействованных активов - суммарная стоимость долгосрочных активов (основных средств и нематериальных активов по остаточной стоимости) и чистого оборотного капитала (рассчитываемого как разность между текущими активами и текущими обязательствами) на конец отчетного периода, используемых при предоставлении услуг по транспортировке нефти по магистральным трубопроводам; </w:t>
      </w:r>
    </w:p>
    <w:p>
      <w:pPr>
        <w:spacing w:after="0"/>
        <w:ind w:left="0"/>
        <w:jc w:val="both"/>
      </w:pPr>
      <w:r>
        <w:rPr>
          <w:rFonts w:ascii="Times New Roman"/>
          <w:b w:val="false"/>
          <w:i w:val="false"/>
          <w:color w:val="000000"/>
          <w:sz w:val="28"/>
        </w:rPr>
        <w:t xml:space="preserve">
      собственный капитал - капитал, принадлежащий собственникам нефтепроводной организации, и состоящий из определенного числа долей или акций, а также включающий накопленную нераспределенную прибыль и резервный капитал, дополнительно оплаченный и дополнительно неоплаченный капитал, определяемый по балансовым данным нефтепроводной организации на конец отчетного периода; </w:t>
      </w:r>
    </w:p>
    <w:p>
      <w:pPr>
        <w:spacing w:after="0"/>
        <w:ind w:left="0"/>
        <w:jc w:val="both"/>
      </w:pPr>
      <w:r>
        <w:rPr>
          <w:rFonts w:ascii="Times New Roman"/>
          <w:b w:val="false"/>
          <w:i w:val="false"/>
          <w:color w:val="000000"/>
          <w:sz w:val="28"/>
        </w:rPr>
        <w:t xml:space="preserve">
      стоимость капитала - величина, характеризующая ставку доходности на заемный и собственный капитал, отражающая инвестиционные риски, связанные с осуществлением нефтепроводной организацией деятельности по транспортировке нефти по магистральным трубопроводам; </w:t>
      </w:r>
    </w:p>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w:t>
      </w:r>
    </w:p>
    <w:p>
      <w:pPr>
        <w:spacing w:after="0"/>
        <w:ind w:left="0"/>
        <w:jc w:val="both"/>
      </w:pPr>
      <w:r>
        <w:rPr>
          <w:rFonts w:ascii="Times New Roman"/>
          <w:b w:val="false"/>
          <w:i w:val="false"/>
          <w:color w:val="000000"/>
          <w:sz w:val="28"/>
        </w:rPr>
        <w:t xml:space="preserve">
      Иные понятия и термины, используемые в настоящей Инструкции,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Председателя Агентства РК по регулированию естественных монополий от 26.02.2009 </w:t>
      </w:r>
      <w:r>
        <w:rPr>
          <w:rFonts w:ascii="Times New Roman"/>
          <w:b w:val="false"/>
          <w:i w:val="false"/>
          <w:color w:val="000000"/>
          <w:sz w:val="28"/>
        </w:rPr>
        <w:t xml:space="preserve">№ 67-ОД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2. Расчет ставки прибыли на регулируемую</w:t>
      </w:r>
      <w:r>
        <w:br/>
      </w:r>
      <w:r>
        <w:rPr>
          <w:rFonts w:ascii="Times New Roman"/>
          <w:b/>
          <w:i w:val="false"/>
          <w:color w:val="000000"/>
        </w:rPr>
        <w:t>базу задействованных активов</w:t>
      </w:r>
    </w:p>
    <w:bookmarkEnd w:id="3"/>
    <w:p>
      <w:pPr>
        <w:spacing w:after="0"/>
        <w:ind w:left="0"/>
        <w:jc w:val="both"/>
      </w:pPr>
      <w:r>
        <w:rPr>
          <w:rFonts w:ascii="Times New Roman"/>
          <w:b w:val="false"/>
          <w:i w:val="false"/>
          <w:color w:val="000000"/>
          <w:sz w:val="28"/>
        </w:rPr>
        <w:t xml:space="preserve">
      6. Ставка прибыли на регулируемую базу задействованных активов нефтепроводной организации определяется как средневзвешенная стоимость капитала и рассчитывается по формуле: </w:t>
      </w:r>
    </w:p>
    <w:p>
      <w:pPr>
        <w:spacing w:after="0"/>
        <w:ind w:left="0"/>
        <w:jc w:val="both"/>
      </w:pPr>
      <w:r>
        <w:rPr>
          <w:rFonts w:ascii="Times New Roman"/>
          <w:b w:val="false"/>
          <w:i w:val="false"/>
          <w:color w:val="000000"/>
          <w:sz w:val="28"/>
        </w:rPr>
        <w:t xml:space="preserve">
                                  [СК x СП </w:t>
      </w:r>
      <w:r>
        <w:rPr>
          <w:rFonts w:ascii="Times New Roman"/>
          <w:b w:val="false"/>
          <w:i w:val="false"/>
          <w:color w:val="000000"/>
          <w:vertAlign w:val="subscript"/>
        </w:rPr>
        <w:t xml:space="preserve">СК </w:t>
      </w:r>
      <w:r>
        <w:rPr>
          <w:rFonts w:ascii="Times New Roman"/>
          <w:b w:val="false"/>
          <w:i w:val="false"/>
          <w:color w:val="000000"/>
          <w:sz w:val="28"/>
        </w:rPr>
        <w:t xml:space="preserve">] + [ЗК x СП </w:t>
      </w:r>
      <w:r>
        <w:rPr>
          <w:rFonts w:ascii="Times New Roman"/>
          <w:b w:val="false"/>
          <w:i w:val="false"/>
          <w:color w:val="000000"/>
          <w:vertAlign w:val="subscript"/>
        </w:rPr>
        <w:t xml:space="preserve">ЗК </w:t>
      </w:r>
      <w:r>
        <w:rPr>
          <w:rFonts w:ascii="Times New Roman"/>
          <w:b w:val="false"/>
          <w:i w:val="false"/>
          <w:color w:val="000000"/>
          <w:sz w:val="28"/>
        </w:rPr>
        <w:t xml:space="preserve"> x (1-t)]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СК + ЗК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ЗА </w:t>
      </w:r>
      <w:r>
        <w:rPr>
          <w:rFonts w:ascii="Times New Roman"/>
          <w:b w:val="false"/>
          <w:i w:val="false"/>
          <w:color w:val="000000"/>
          <w:sz w:val="28"/>
        </w:rPr>
        <w:t xml:space="preserve"> - ставка прибыли на задействованные активы; </w:t>
      </w:r>
    </w:p>
    <w:p>
      <w:pPr>
        <w:spacing w:after="0"/>
        <w:ind w:left="0"/>
        <w:jc w:val="both"/>
      </w:pPr>
      <w:r>
        <w:rPr>
          <w:rFonts w:ascii="Times New Roman"/>
          <w:b w:val="false"/>
          <w:i w:val="false"/>
          <w:color w:val="000000"/>
          <w:sz w:val="28"/>
        </w:rPr>
        <w:t xml:space="preserve">
      СК - собственный капитал, тенге;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СК </w:t>
      </w:r>
      <w:r>
        <w:rPr>
          <w:rFonts w:ascii="Times New Roman"/>
          <w:b w:val="false"/>
          <w:i w:val="false"/>
          <w:color w:val="000000"/>
          <w:sz w:val="28"/>
        </w:rPr>
        <w:t xml:space="preserve"> - стоимость собственного капитала; </w:t>
      </w:r>
    </w:p>
    <w:p>
      <w:pPr>
        <w:spacing w:after="0"/>
        <w:ind w:left="0"/>
        <w:jc w:val="both"/>
      </w:pPr>
      <w:r>
        <w:rPr>
          <w:rFonts w:ascii="Times New Roman"/>
          <w:b w:val="false"/>
          <w:i w:val="false"/>
          <w:color w:val="000000"/>
          <w:sz w:val="28"/>
        </w:rPr>
        <w:t xml:space="preserve">
      ЗК - заемный капитал, тенге;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 стоимость заемного капитала; </w:t>
      </w:r>
    </w:p>
    <w:p>
      <w:pPr>
        <w:spacing w:after="0"/>
        <w:ind w:left="0"/>
        <w:jc w:val="both"/>
      </w:pPr>
      <w:r>
        <w:rPr>
          <w:rFonts w:ascii="Times New Roman"/>
          <w:b w:val="false"/>
          <w:i w:val="false"/>
          <w:color w:val="000000"/>
          <w:sz w:val="28"/>
        </w:rPr>
        <w:t xml:space="preserve">
      t - эффективная ставка налогообложения. </w:t>
      </w:r>
    </w:p>
    <w:p>
      <w:pPr>
        <w:spacing w:after="0"/>
        <w:ind w:left="0"/>
        <w:jc w:val="both"/>
      </w:pPr>
      <w:r>
        <w:rPr>
          <w:rFonts w:ascii="Times New Roman"/>
          <w:b w:val="false"/>
          <w:i w:val="false"/>
          <w:color w:val="000000"/>
          <w:sz w:val="28"/>
        </w:rPr>
        <w:t xml:space="preserve">
      7. Стоимость собственного капитала определяется суммированием безрисковой ставки, премии за страновой риск Казахстана, премии за риск по акциям для трубопроводного сектора и премий за специфические риски, характерные для нефтепроводной организации по формуле: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СК </w:t>
      </w:r>
      <w:r>
        <w:rPr>
          <w:rFonts w:ascii="Times New Roman"/>
          <w:b w:val="false"/>
          <w:i w:val="false"/>
          <w:color w:val="000000"/>
          <w:sz w:val="28"/>
        </w:rPr>
        <w:t xml:space="preserve"> = r </w:t>
      </w:r>
      <w:r>
        <w:rPr>
          <w:rFonts w:ascii="Times New Roman"/>
          <w:b w:val="false"/>
          <w:i w:val="false"/>
          <w:color w:val="000000"/>
          <w:vertAlign w:val="subscript"/>
        </w:rPr>
        <w:t xml:space="preserve">f1 </w:t>
      </w:r>
      <w:r>
        <w:rPr>
          <w:rFonts w:ascii="Times New Roman"/>
          <w:b w:val="false"/>
          <w:i w:val="false"/>
          <w:color w:val="000000"/>
          <w:sz w:val="28"/>
        </w:rPr>
        <w:t xml:space="preserve"> + r </w:t>
      </w:r>
      <w:r>
        <w:rPr>
          <w:rFonts w:ascii="Times New Roman"/>
          <w:b w:val="false"/>
          <w:i w:val="false"/>
          <w:color w:val="000000"/>
          <w:vertAlign w:val="subscript"/>
        </w:rPr>
        <w:t xml:space="preserve">c </w:t>
      </w:r>
      <w:r>
        <w:rPr>
          <w:rFonts w:ascii="Times New Roman"/>
          <w:b w:val="false"/>
          <w:i w:val="false"/>
          <w:color w:val="000000"/>
          <w:sz w:val="28"/>
        </w:rPr>
        <w:t xml:space="preserve"> + r </w:t>
      </w:r>
      <w:r>
        <w:rPr>
          <w:rFonts w:ascii="Times New Roman"/>
          <w:b w:val="false"/>
          <w:i w:val="false"/>
          <w:color w:val="000000"/>
          <w:vertAlign w:val="subscript"/>
        </w:rPr>
        <w:t xml:space="preserve">а </w:t>
      </w:r>
      <w:r>
        <w:rPr>
          <w:rFonts w:ascii="Times New Roman"/>
          <w:b w:val="false"/>
          <w:i w:val="false"/>
          <w:color w:val="000000"/>
          <w:sz w:val="28"/>
        </w:rPr>
        <w:t xml:space="preserve"> + r </w:t>
      </w:r>
      <w:r>
        <w:rPr>
          <w:rFonts w:ascii="Times New Roman"/>
          <w:b w:val="false"/>
          <w:i w:val="false"/>
          <w:color w:val="000000"/>
          <w:vertAlign w:val="subscript"/>
        </w:rPr>
        <w:t xml:space="preserve">s,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f1 </w:t>
      </w:r>
      <w:r>
        <w:rPr>
          <w:rFonts w:ascii="Times New Roman"/>
          <w:b w:val="false"/>
          <w:i w:val="false"/>
          <w:color w:val="000000"/>
          <w:sz w:val="28"/>
        </w:rPr>
        <w:t xml:space="preserve"> - безрисковая ставка доходности;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c </w:t>
      </w:r>
      <w:r>
        <w:rPr>
          <w:rFonts w:ascii="Times New Roman"/>
          <w:b w:val="false"/>
          <w:i w:val="false"/>
          <w:color w:val="000000"/>
          <w:sz w:val="28"/>
        </w:rPr>
        <w:t xml:space="preserve"> - премия за страновой риск;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а </w:t>
      </w:r>
      <w:r>
        <w:rPr>
          <w:rFonts w:ascii="Times New Roman"/>
          <w:b w:val="false"/>
          <w:i w:val="false"/>
          <w:color w:val="000000"/>
          <w:sz w:val="28"/>
        </w:rPr>
        <w:t xml:space="preserve"> - премия за риск по акциям для нефтепроводного сектора;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s  </w:t>
      </w:r>
      <w:r>
        <w:rPr>
          <w:rFonts w:ascii="Times New Roman"/>
          <w:b w:val="false"/>
          <w:i w:val="false"/>
          <w:color w:val="000000"/>
          <w:sz w:val="28"/>
        </w:rPr>
        <w:t xml:space="preserve">- премия за специфические риски, характерные для нефтепроводной организации. </w:t>
      </w:r>
    </w:p>
    <w:p>
      <w:pPr>
        <w:spacing w:after="0"/>
        <w:ind w:left="0"/>
        <w:jc w:val="both"/>
      </w:pPr>
      <w:r>
        <w:rPr>
          <w:rFonts w:ascii="Times New Roman"/>
          <w:b w:val="false"/>
          <w:i w:val="false"/>
          <w:color w:val="000000"/>
          <w:sz w:val="28"/>
        </w:rPr>
        <w:t xml:space="preserve">
      8. Безрисковая ставка доходности (r </w:t>
      </w:r>
      <w:r>
        <w:rPr>
          <w:rFonts w:ascii="Times New Roman"/>
          <w:b w:val="false"/>
          <w:i w:val="false"/>
          <w:color w:val="000000"/>
          <w:vertAlign w:val="subscript"/>
        </w:rPr>
        <w:t>f</w:t>
      </w:r>
      <w:r>
        <w:rPr>
          <w:rFonts w:ascii="Times New Roman"/>
          <w:b w:val="false"/>
          <w:i w:val="false"/>
          <w:color w:val="000000"/>
          <w:vertAlign w:val="subscript"/>
        </w:rPr>
        <w:t xml:space="preserve">1 </w:t>
      </w:r>
      <w:r>
        <w:rPr>
          <w:rFonts w:ascii="Times New Roman"/>
          <w:b w:val="false"/>
          <w:i w:val="false"/>
          <w:color w:val="000000"/>
          <w:sz w:val="28"/>
        </w:rPr>
        <w:t xml:space="preserve">) при расчете стоимости собственного капитала нефтепроводной организации принимается равной текущей доходности 20-ти летних облигаций Казначейства США, определяемой на основании данных Федеральной резервной системы США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w:t>
      </w:r>
    </w:p>
    <w:p>
      <w:pPr>
        <w:spacing w:after="0"/>
        <w:ind w:left="0"/>
        <w:jc w:val="both"/>
      </w:pPr>
      <w:r>
        <w:rPr>
          <w:rFonts w:ascii="Times New Roman"/>
          <w:b w:val="false"/>
          <w:i w:val="false"/>
          <w:color w:val="000000"/>
          <w:sz w:val="28"/>
        </w:rPr>
        <w:t xml:space="preserve">
      9. Определение премии за страновой риск (r </w:t>
      </w:r>
      <w:r>
        <w:rPr>
          <w:rFonts w:ascii="Times New Roman"/>
          <w:b w:val="false"/>
          <w:i w:val="false"/>
          <w:color w:val="000000"/>
          <w:vertAlign w:val="subscript"/>
        </w:rPr>
        <w:t xml:space="preserve">c </w:t>
      </w:r>
      <w:r>
        <w:rPr>
          <w:rFonts w:ascii="Times New Roman"/>
          <w:b w:val="false"/>
          <w:i w:val="false"/>
          <w:color w:val="000000"/>
          <w:sz w:val="28"/>
        </w:rPr>
        <w:t xml:space="preserve">) нефтепроводной организации основано на рейтинговом методе, предусматривающем расчет дефолт-спреда с использованием рейтинга суверенного долга Республики Казахстан, присвоенного международными рейтинговыми агентствами: Moody's, Fitch и Standard &amp; Poor's. </w:t>
      </w:r>
    </w:p>
    <w:p>
      <w:pPr>
        <w:spacing w:after="0"/>
        <w:ind w:left="0"/>
        <w:jc w:val="both"/>
      </w:pPr>
      <w:r>
        <w:rPr>
          <w:rFonts w:ascii="Times New Roman"/>
          <w:b w:val="false"/>
          <w:i w:val="false"/>
          <w:color w:val="000000"/>
          <w:sz w:val="28"/>
        </w:rPr>
        <w:t xml:space="preserve">
      Премия за страновой риск рассчитывается по формуле: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c </w:t>
      </w:r>
      <w:r>
        <w:rPr>
          <w:rFonts w:ascii="Times New Roman"/>
          <w:b w:val="false"/>
          <w:i w:val="false"/>
          <w:color w:val="000000"/>
          <w:sz w:val="28"/>
        </w:rPr>
        <w:t xml:space="preserve"> = d </w:t>
      </w:r>
      <w:r>
        <w:rPr>
          <w:rFonts w:ascii="Times New Roman"/>
          <w:b w:val="false"/>
          <w:i w:val="false"/>
          <w:color w:val="000000"/>
          <w:vertAlign w:val="subscript"/>
        </w:rPr>
        <w:t xml:space="preserve">s </w:t>
      </w:r>
      <w:r>
        <w:rPr>
          <w:rFonts w:ascii="Times New Roman"/>
          <w:b w:val="false"/>
          <w:i w:val="false"/>
          <w:color w:val="000000"/>
          <w:sz w:val="28"/>
        </w:rPr>
        <w:t xml:space="preserve"> x k </w:t>
      </w:r>
      <w:r>
        <w:rPr>
          <w:rFonts w:ascii="Times New Roman"/>
          <w:b w:val="false"/>
          <w:i w:val="false"/>
          <w:color w:val="000000"/>
          <w:vertAlign w:val="subscript"/>
        </w:rPr>
        <w:t xml:space="preserve">v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 дефолт-спред по облигациям;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v </w:t>
      </w:r>
      <w:r>
        <w:rPr>
          <w:rFonts w:ascii="Times New Roman"/>
          <w:b w:val="false"/>
          <w:i w:val="false"/>
          <w:color w:val="000000"/>
          <w:sz w:val="28"/>
        </w:rPr>
        <w:t xml:space="preserve">  - средний коэффициент нестабильности фондового рынка; </w:t>
      </w:r>
    </w:p>
    <w:p>
      <w:pPr>
        <w:spacing w:after="0"/>
        <w:ind w:left="0"/>
        <w:jc w:val="both"/>
      </w:pPr>
      <w:r>
        <w:rPr>
          <w:rFonts w:ascii="Times New Roman"/>
          <w:b w:val="false"/>
          <w:i w:val="false"/>
          <w:color w:val="000000"/>
          <w:sz w:val="28"/>
        </w:rPr>
        <w:t xml:space="preserve">
      Дефолт-спред в базисных пунктах (1 базисный пункт = 0,01%) определяется на основе присвоенного Республике Казахстан кредитного рейтинга международными рейтинговыми агентствами:  Moody's, Fitch и Standard &amp; Poor's, принимаемого по наиболее консервативному из них и действующего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(Приложение 1). </w:t>
      </w:r>
    </w:p>
    <w:p>
      <w:pPr>
        <w:spacing w:after="0"/>
        <w:ind w:left="0"/>
        <w:jc w:val="both"/>
      </w:pPr>
      <w:r>
        <w:rPr>
          <w:rFonts w:ascii="Times New Roman"/>
          <w:b w:val="false"/>
          <w:i w:val="false"/>
          <w:color w:val="000000"/>
          <w:sz w:val="28"/>
        </w:rPr>
        <w:t xml:space="preserve">
      Средний коэффициент нестабильности фондового рынка для расчета ставки прибыли на задействованные активы нефтепроводной организации определен на основе расчета по глобальному фондовому рынку и принят на уровне 1,5 (Приложение 2). </w:t>
      </w:r>
    </w:p>
    <w:p>
      <w:pPr>
        <w:spacing w:after="0"/>
        <w:ind w:left="0"/>
        <w:jc w:val="both"/>
      </w:pPr>
      <w:r>
        <w:rPr>
          <w:rFonts w:ascii="Times New Roman"/>
          <w:b w:val="false"/>
          <w:i w:val="false"/>
          <w:color w:val="000000"/>
          <w:sz w:val="28"/>
        </w:rPr>
        <w:t xml:space="preserve">
      10. Премия за риск по акциям нефтепроводного сектора (r </w:t>
      </w:r>
      <w:r>
        <w:rPr>
          <w:rFonts w:ascii="Times New Roman"/>
          <w:b w:val="false"/>
          <w:i w:val="false"/>
          <w:color w:val="000000"/>
          <w:vertAlign w:val="subscript"/>
        </w:rPr>
        <w:t xml:space="preserve">а </w:t>
      </w:r>
      <w:r>
        <w:rPr>
          <w:rFonts w:ascii="Times New Roman"/>
          <w:b w:val="false"/>
          <w:i w:val="false"/>
          <w:color w:val="000000"/>
          <w:sz w:val="28"/>
        </w:rPr>
        <w:t xml:space="preserve">) определяется на основе долгосрочной премии за риск по фондовому рынку США в целом (Приложение 3) и  корректируется на отраслевой бета-коэффициент по формуле: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а </w:t>
      </w:r>
      <w:r>
        <w:rPr>
          <w:rFonts w:ascii="Times New Roman"/>
          <w:b w:val="false"/>
          <w:i w:val="false"/>
          <w:color w:val="000000"/>
          <w:sz w:val="28"/>
        </w:rPr>
        <w:t xml:space="preserve"> = b (r </w:t>
      </w:r>
      <w:r>
        <w:rPr>
          <w:rFonts w:ascii="Times New Roman"/>
          <w:b w:val="false"/>
          <w:i w:val="false"/>
          <w:color w:val="000000"/>
          <w:vertAlign w:val="subscript"/>
        </w:rPr>
        <w:t xml:space="preserve">m </w:t>
      </w:r>
      <w:r>
        <w:rPr>
          <w:rFonts w:ascii="Times New Roman"/>
          <w:b w:val="false"/>
          <w:i w:val="false"/>
          <w:color w:val="000000"/>
          <w:sz w:val="28"/>
        </w:rPr>
        <w:t xml:space="preserve"> - r </w:t>
      </w:r>
      <w:r>
        <w:rPr>
          <w:rFonts w:ascii="Times New Roman"/>
          <w:b w:val="false"/>
          <w:i w:val="false"/>
          <w:color w:val="000000"/>
          <w:vertAlign w:val="subscript"/>
        </w:rPr>
        <w:t xml:space="preserve">f2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 </w:t>
      </w:r>
      <w:r>
        <w:rPr>
          <w:rFonts w:ascii="Times New Roman"/>
          <w:b w:val="false"/>
          <w:i w:val="false"/>
          <w:color w:val="000000"/>
          <w:sz w:val="28"/>
        </w:rPr>
        <w:t xml:space="preserve"> - среднеарифметическая общерыночная доходность по фондовому рынку США в целом за период 1926-2001 годы;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f2 </w:t>
      </w:r>
      <w:r>
        <w:rPr>
          <w:rFonts w:ascii="Times New Roman"/>
          <w:b w:val="false"/>
          <w:i w:val="false"/>
          <w:color w:val="000000"/>
          <w:sz w:val="28"/>
        </w:rPr>
        <w:t xml:space="preserve"> - среднеарифметическая доходность 20-ти летних государственных облигаций США за период с 1926-2001 годы; </w:t>
      </w:r>
    </w:p>
    <w:p>
      <w:pPr>
        <w:spacing w:after="0"/>
        <w:ind w:left="0"/>
        <w:jc w:val="both"/>
      </w:pPr>
      <w:r>
        <w:rPr>
          <w:rFonts w:ascii="Times New Roman"/>
          <w:b w:val="false"/>
          <w:i w:val="false"/>
          <w:color w:val="000000"/>
          <w:sz w:val="28"/>
        </w:rPr>
        <w:t xml:space="preserve">
      b - отраслевой бета-коэффициент нефтепроводного сектора. </w:t>
      </w:r>
    </w:p>
    <w:p>
      <w:pPr>
        <w:spacing w:after="0"/>
        <w:ind w:left="0"/>
        <w:jc w:val="both"/>
      </w:pPr>
      <w:r>
        <w:rPr>
          <w:rFonts w:ascii="Times New Roman"/>
          <w:b w:val="false"/>
          <w:i w:val="false"/>
          <w:color w:val="000000"/>
          <w:sz w:val="28"/>
        </w:rPr>
        <w:t xml:space="preserve">
      Для расчета ставки прибыли на задействованные активы нефтепроводной организации отраслевой бета-коэффициент принят на уровне 0,88 (Приложение 4). </w:t>
      </w:r>
    </w:p>
    <w:p>
      <w:pPr>
        <w:spacing w:after="0"/>
        <w:ind w:left="0"/>
        <w:jc w:val="both"/>
      </w:pPr>
      <w:r>
        <w:rPr>
          <w:rFonts w:ascii="Times New Roman"/>
          <w:b w:val="false"/>
          <w:i w:val="false"/>
          <w:color w:val="000000"/>
          <w:sz w:val="28"/>
        </w:rPr>
        <w:t xml:space="preserve">
      11. Премия за специфические риски (r </w:t>
      </w:r>
      <w:r>
        <w:rPr>
          <w:rFonts w:ascii="Times New Roman"/>
          <w:b w:val="false"/>
          <w:i w:val="false"/>
          <w:color w:val="000000"/>
          <w:vertAlign w:val="subscript"/>
        </w:rPr>
        <w:t xml:space="preserve">s </w:t>
      </w:r>
      <w:r>
        <w:rPr>
          <w:rFonts w:ascii="Times New Roman"/>
          <w:b w:val="false"/>
          <w:i w:val="false"/>
          <w:color w:val="000000"/>
          <w:sz w:val="28"/>
        </w:rPr>
        <w:t xml:space="preserve">), характерные для нефтепроводной организации, отражает дополнительные риски, связанные с инвестициями в нефтепроводную организацию, которые не покрываются отраслевым бета-коэффициентом и премией за страновой риск. Значение премии за специфические риски в зависимости от их оценки находится в диапазоне от 0 до 10%. </w:t>
      </w:r>
    </w:p>
    <w:p>
      <w:pPr>
        <w:spacing w:after="0"/>
        <w:ind w:left="0"/>
        <w:jc w:val="both"/>
      </w:pPr>
      <w:r>
        <w:rPr>
          <w:rFonts w:ascii="Times New Roman"/>
          <w:b w:val="false"/>
          <w:i w:val="false"/>
          <w:color w:val="000000"/>
          <w:sz w:val="28"/>
        </w:rPr>
        <w:t xml:space="preserve">
      Основными факторами, определяющими величину премии за специфические риски нефтепроводной организации, являются: </w:t>
      </w:r>
    </w:p>
    <w:p>
      <w:pPr>
        <w:spacing w:after="0"/>
        <w:ind w:left="0"/>
        <w:jc w:val="both"/>
      </w:pPr>
      <w:r>
        <w:rPr>
          <w:rFonts w:ascii="Times New Roman"/>
          <w:b w:val="false"/>
          <w:i w:val="false"/>
          <w:color w:val="000000"/>
          <w:sz w:val="28"/>
        </w:rPr>
        <w:t xml:space="preserve">
      1) текущий уровень тарифов на прокачку нефти; </w:t>
      </w:r>
    </w:p>
    <w:p>
      <w:pPr>
        <w:spacing w:after="0"/>
        <w:ind w:left="0"/>
        <w:jc w:val="both"/>
      </w:pPr>
      <w:r>
        <w:rPr>
          <w:rFonts w:ascii="Times New Roman"/>
          <w:b w:val="false"/>
          <w:i w:val="false"/>
          <w:color w:val="000000"/>
          <w:sz w:val="28"/>
        </w:rPr>
        <w:t xml:space="preserve">
      2) зависимость от ключевых заказчиков/клиентов; </w:t>
      </w:r>
    </w:p>
    <w:p>
      <w:pPr>
        <w:spacing w:after="0"/>
        <w:ind w:left="0"/>
        <w:jc w:val="both"/>
      </w:pPr>
      <w:r>
        <w:rPr>
          <w:rFonts w:ascii="Times New Roman"/>
          <w:b w:val="false"/>
          <w:i w:val="false"/>
          <w:color w:val="000000"/>
          <w:sz w:val="28"/>
        </w:rPr>
        <w:t xml:space="preserve">
      3) перспективы развития бизнеса; </w:t>
      </w:r>
    </w:p>
    <w:p>
      <w:pPr>
        <w:spacing w:after="0"/>
        <w:ind w:left="0"/>
        <w:jc w:val="both"/>
      </w:pPr>
      <w:r>
        <w:rPr>
          <w:rFonts w:ascii="Times New Roman"/>
          <w:b w:val="false"/>
          <w:i w:val="false"/>
          <w:color w:val="000000"/>
          <w:sz w:val="28"/>
        </w:rPr>
        <w:t xml:space="preserve">
      4) состояние задействованных активов; </w:t>
      </w:r>
    </w:p>
    <w:p>
      <w:pPr>
        <w:spacing w:after="0"/>
        <w:ind w:left="0"/>
        <w:jc w:val="both"/>
      </w:pPr>
      <w:r>
        <w:rPr>
          <w:rFonts w:ascii="Times New Roman"/>
          <w:b w:val="false"/>
          <w:i w:val="false"/>
          <w:color w:val="000000"/>
          <w:sz w:val="28"/>
        </w:rPr>
        <w:t xml:space="preserve">
      5) финансовое состояние бизнеса и возможности по финансированию капитальных затрат. </w:t>
      </w:r>
    </w:p>
    <w:p>
      <w:pPr>
        <w:spacing w:after="0"/>
        <w:ind w:left="0"/>
        <w:jc w:val="both"/>
      </w:pPr>
      <w:r>
        <w:rPr>
          <w:rFonts w:ascii="Times New Roman"/>
          <w:b w:val="false"/>
          <w:i w:val="false"/>
          <w:color w:val="000000"/>
          <w:sz w:val="28"/>
        </w:rPr>
        <w:t xml:space="preserve">
      Для объективной оценки специфических рисков, характерных для нефтепроводной организации, используется алгоритм, который учитывает основные факторы специфических рисков (Приложение 5). </w:t>
      </w:r>
    </w:p>
    <w:p>
      <w:pPr>
        <w:spacing w:after="0"/>
        <w:ind w:left="0"/>
        <w:jc w:val="both"/>
      </w:pPr>
      <w:r>
        <w:rPr>
          <w:rFonts w:ascii="Times New Roman"/>
          <w:b w:val="false"/>
          <w:i w:val="false"/>
          <w:color w:val="000000"/>
          <w:sz w:val="28"/>
        </w:rPr>
        <w:t xml:space="preserve">
      Оценку специфических рисков нефтепроводной организации проводит компетентный орган. </w:t>
      </w:r>
    </w:p>
    <w:p>
      <w:pPr>
        <w:spacing w:after="0"/>
        <w:ind w:left="0"/>
        <w:jc w:val="both"/>
      </w:pPr>
      <w:r>
        <w:rPr>
          <w:rFonts w:ascii="Times New Roman"/>
          <w:b w:val="false"/>
          <w:i w:val="false"/>
          <w:color w:val="000000"/>
          <w:sz w:val="28"/>
        </w:rPr>
        <w:t xml:space="preserve">
      12. Стоимость заемного капитала нефтепроводной организации, у которой удельный вес заемного капитала по отношению ко всему капиталу составляет менее 50 %, определяется по формуле: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rPr>
        <w:t xml:space="preserve"> кредитов </w:t>
      </w:r>
      <w:r>
        <w:rPr>
          <w:rFonts w:ascii="Times New Roman"/>
          <w:b w:val="false"/>
          <w:i w:val="false"/>
          <w:color w:val="000000"/>
          <w:vertAlign w:val="subscript"/>
        </w:rPr>
        <w:t xml:space="preserve">i </w:t>
      </w:r>
      <w:r>
        <w:rPr>
          <w:rFonts w:ascii="Times New Roman"/>
          <w:b w:val="false"/>
          <w:i w:val="false"/>
          <w:color w:val="000000"/>
          <w:sz w:val="28"/>
        </w:rPr>
        <w:t xml:space="preserve"> х ставка </w:t>
      </w:r>
      <w:r>
        <w:rPr>
          <w:rFonts w:ascii="Times New Roman"/>
          <w:b w:val="false"/>
          <w:i w:val="false"/>
          <w:color w:val="000000"/>
          <w:vertAlign w:val="subscript"/>
        </w:rPr>
        <w:t xml:space="preserve">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CП </w:t>
      </w:r>
      <w:r>
        <w:rPr>
          <w:rFonts w:ascii="Times New Roman"/>
          <w:b w:val="false"/>
          <w:i w:val="false"/>
          <w:color w:val="000000"/>
          <w:vertAlign w:val="subscript"/>
        </w:rPr>
        <w:t xml:space="preserve">ЗК </w:t>
      </w:r>
      <w:r>
        <w:rPr>
          <w:rFonts w:ascii="Times New Roman"/>
          <w:b w:val="false"/>
          <w:i w:val="false"/>
          <w:color w:val="000000"/>
          <w:sz w:val="28"/>
        </w:rPr>
        <w:t xml:space="preserve">24 = ----------------------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rPr>
        <w:t xml:space="preserve"> кредитов </w:t>
      </w:r>
      <w:r>
        <w:rPr>
          <w:rFonts w:ascii="Times New Roman"/>
          <w:b w:val="false"/>
          <w:i w:val="false"/>
          <w:color w:val="000000"/>
          <w:vertAlign w:val="subscript"/>
        </w:rPr>
        <w:t xml:space="preserve">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 ставка прибыли на заемный капитал; </w:t>
      </w:r>
    </w:p>
    <w:p>
      <w:pPr>
        <w:spacing w:after="0"/>
        <w:ind w:left="0"/>
        <w:jc w:val="both"/>
      </w:pPr>
      <w:r>
        <w:rPr>
          <w:rFonts w:ascii="Times New Roman"/>
          <w:b w:val="false"/>
          <w:i w:val="false"/>
          <w:color w:val="000000"/>
          <w:sz w:val="28"/>
        </w:rPr>
        <w:t xml:space="preserve">
      кредит </w:t>
      </w:r>
      <w:r>
        <w:rPr>
          <w:rFonts w:ascii="Times New Roman"/>
          <w:b w:val="false"/>
          <w:i w:val="false"/>
          <w:color w:val="000000"/>
          <w:vertAlign w:val="subscript"/>
        </w:rPr>
        <w:t xml:space="preserve">i </w:t>
      </w:r>
      <w:r>
        <w:rPr>
          <w:rFonts w:ascii="Times New Roman"/>
          <w:b w:val="false"/>
          <w:i w:val="false"/>
          <w:color w:val="000000"/>
          <w:sz w:val="28"/>
        </w:rPr>
        <w:t xml:space="preserve"> - обязательства нефтепроводной организации по полученным финансовым ресурсам, за исключением кредитов на пополнение оборотных средств,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w:t>
      </w:r>
    </w:p>
    <w:p>
      <w:pPr>
        <w:spacing w:after="0"/>
        <w:ind w:left="0"/>
        <w:jc w:val="both"/>
      </w:pPr>
      <w:r>
        <w:rPr>
          <w:rFonts w:ascii="Times New Roman"/>
          <w:b w:val="false"/>
          <w:i w:val="false"/>
          <w:color w:val="000000"/>
          <w:sz w:val="28"/>
        </w:rPr>
        <w:t xml:space="preserve">
      ставка </w:t>
      </w:r>
      <w:r>
        <w:rPr>
          <w:rFonts w:ascii="Times New Roman"/>
          <w:b w:val="false"/>
          <w:i w:val="false"/>
          <w:color w:val="000000"/>
          <w:vertAlign w:val="subscript"/>
        </w:rPr>
        <w:t xml:space="preserve">i </w:t>
      </w:r>
      <w:r>
        <w:rPr>
          <w:rFonts w:ascii="Times New Roman"/>
          <w:b w:val="false"/>
          <w:i w:val="false"/>
          <w:color w:val="000000"/>
          <w:sz w:val="28"/>
        </w:rPr>
        <w:t xml:space="preserve"> - годовая процентная ставка вознаграждения по соответствующему кредиту. </w:t>
      </w:r>
    </w:p>
    <w:p>
      <w:pPr>
        <w:spacing w:after="0"/>
        <w:ind w:left="0"/>
        <w:jc w:val="both"/>
      </w:pPr>
      <w:r>
        <w:rPr>
          <w:rFonts w:ascii="Times New Roman"/>
          <w:b w:val="false"/>
          <w:i w:val="false"/>
          <w:color w:val="000000"/>
          <w:sz w:val="28"/>
        </w:rPr>
        <w:t xml:space="preserve">
      13. Стоимость заемного капитала нефтепроводной организации, у которой удельный вес заемного капитала по отношению ко всему капиталу составляет 50 % и более, определяется по формуле: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rPr>
        <w:t xml:space="preserve"> кредитов </w:t>
      </w:r>
      <w:r>
        <w:rPr>
          <w:rFonts w:ascii="Times New Roman"/>
          <w:b w:val="false"/>
          <w:i w:val="false"/>
          <w:color w:val="000000"/>
          <w:vertAlign w:val="subscript"/>
        </w:rPr>
        <w:t xml:space="preserve">i </w:t>
      </w:r>
      <w:r>
        <w:rPr>
          <w:rFonts w:ascii="Times New Roman"/>
          <w:b w:val="false"/>
          <w:i w:val="false"/>
          <w:color w:val="000000"/>
          <w:sz w:val="28"/>
        </w:rPr>
        <w:t xml:space="preserve"> х (СРНБ - Учi +ставка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CП </w:t>
      </w:r>
      <w:r>
        <w:rPr>
          <w:rFonts w:ascii="Times New Roman"/>
          <w:b w:val="false"/>
          <w:i w:val="false"/>
          <w:color w:val="000000"/>
          <w:vertAlign w:val="subscript"/>
        </w:rPr>
        <w:t xml:space="preserve">ЗК </w:t>
      </w:r>
      <w:r>
        <w:rPr>
          <w:rFonts w:ascii="Times New Roman"/>
          <w:b w:val="false"/>
          <w:i w:val="false"/>
          <w:color w:val="000000"/>
          <w:sz w:val="28"/>
        </w:rPr>
        <w:t xml:space="preserve">24 = ------------------------------------,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rPr>
        <w:t xml:space="preserve"> кредитов </w:t>
      </w:r>
      <w:r>
        <w:rPr>
          <w:rFonts w:ascii="Times New Roman"/>
          <w:b w:val="false"/>
          <w:i w:val="false"/>
          <w:color w:val="000000"/>
          <w:vertAlign w:val="subscript"/>
        </w:rPr>
        <w:t xml:space="preserve">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СП </w:t>
      </w:r>
      <w:r>
        <w:rPr>
          <w:rFonts w:ascii="Times New Roman"/>
          <w:b w:val="false"/>
          <w:i w:val="false"/>
          <w:color w:val="000000"/>
          <w:vertAlign w:val="subscript"/>
        </w:rPr>
        <w:t xml:space="preserve">ЗК </w:t>
      </w:r>
      <w:r>
        <w:rPr>
          <w:rFonts w:ascii="Times New Roman"/>
          <w:b w:val="false"/>
          <w:i w:val="false"/>
          <w:color w:val="000000"/>
          <w:sz w:val="28"/>
        </w:rPr>
        <w:t xml:space="preserve"> - ставка прибыли на заемный капитал; </w:t>
      </w:r>
    </w:p>
    <w:p>
      <w:pPr>
        <w:spacing w:after="0"/>
        <w:ind w:left="0"/>
        <w:jc w:val="both"/>
      </w:pPr>
      <w:r>
        <w:rPr>
          <w:rFonts w:ascii="Times New Roman"/>
          <w:b w:val="false"/>
          <w:i w:val="false"/>
          <w:color w:val="000000"/>
          <w:sz w:val="28"/>
        </w:rPr>
        <w:t xml:space="preserve">
      кредит </w:t>
      </w:r>
      <w:r>
        <w:rPr>
          <w:rFonts w:ascii="Times New Roman"/>
          <w:b w:val="false"/>
          <w:i w:val="false"/>
          <w:color w:val="000000"/>
          <w:vertAlign w:val="subscript"/>
        </w:rPr>
        <w:t xml:space="preserve">i </w:t>
      </w:r>
      <w:r>
        <w:rPr>
          <w:rFonts w:ascii="Times New Roman"/>
          <w:b w:val="false"/>
          <w:i w:val="false"/>
          <w:color w:val="000000"/>
          <w:sz w:val="28"/>
        </w:rPr>
        <w:t xml:space="preserve"> - обязательства нефтепроводной организации по полученным финансовым ресурсам, за исключением кредитов на пополнение оборотных средств,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w:t>
      </w:r>
    </w:p>
    <w:p>
      <w:pPr>
        <w:spacing w:after="0"/>
        <w:ind w:left="0"/>
        <w:jc w:val="both"/>
      </w:pPr>
      <w:r>
        <w:rPr>
          <w:rFonts w:ascii="Times New Roman"/>
          <w:b w:val="false"/>
          <w:i w:val="false"/>
          <w:color w:val="000000"/>
          <w:sz w:val="28"/>
        </w:rPr>
        <w:t xml:space="preserve">
      СРНБ - ставка рефинансирования Национального Банка Республики Казахстан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w:t>
      </w:r>
    </w:p>
    <w:p>
      <w:pPr>
        <w:spacing w:after="0"/>
        <w:ind w:left="0"/>
        <w:jc w:val="both"/>
      </w:pPr>
      <w:r>
        <w:rPr>
          <w:rFonts w:ascii="Times New Roman"/>
          <w:b w:val="false"/>
          <w:i w:val="false"/>
          <w:color w:val="000000"/>
          <w:sz w:val="28"/>
        </w:rPr>
        <w:t xml:space="preserve">
      Учi - ставка рефинансирования банка первого уровня страны (центрального банка), в валюте которой получен кредит на дату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w:t>
      </w:r>
    </w:p>
    <w:p>
      <w:pPr>
        <w:spacing w:after="0"/>
        <w:ind w:left="0"/>
        <w:jc w:val="both"/>
      </w:pPr>
      <w:r>
        <w:rPr>
          <w:rFonts w:ascii="Times New Roman"/>
          <w:b w:val="false"/>
          <w:i w:val="false"/>
          <w:color w:val="000000"/>
          <w:sz w:val="28"/>
        </w:rPr>
        <w:t xml:space="preserve">
            ставка </w:t>
      </w:r>
      <w:r>
        <w:rPr>
          <w:rFonts w:ascii="Times New Roman"/>
          <w:b w:val="false"/>
          <w:i w:val="false"/>
          <w:color w:val="000000"/>
          <w:vertAlign w:val="subscript"/>
        </w:rPr>
        <w:t xml:space="preserve">i </w:t>
      </w:r>
      <w:r>
        <w:rPr>
          <w:rFonts w:ascii="Times New Roman"/>
          <w:b w:val="false"/>
          <w:i w:val="false"/>
          <w:color w:val="000000"/>
          <w:sz w:val="28"/>
        </w:rPr>
        <w:t xml:space="preserve">  - годовая процентная ставка вознаграждения по соответствующему кредиту. </w:t>
      </w:r>
    </w:p>
    <w:p>
      <w:pPr>
        <w:spacing w:after="0"/>
        <w:ind w:left="0"/>
        <w:jc w:val="both"/>
      </w:pPr>
      <w:r>
        <w:rPr>
          <w:rFonts w:ascii="Times New Roman"/>
          <w:b w:val="false"/>
          <w:i w:val="false"/>
          <w:color w:val="000000"/>
          <w:sz w:val="28"/>
        </w:rPr>
        <w:t xml:space="preserve">
      14. Расчет эффективной ставки налогообложения (t) проводится на основе данных законченного аудированного финансового отчета нефтепроводной организации за год, предшествующий дате подачи заявки нефтепроводной организацией на утверждение тарифа или на дату принятия решения об утверждении тарифа по инициативе уполномоченного органа (Приложение 6). </w:t>
      </w:r>
    </w:p>
    <w:p>
      <w:pPr>
        <w:spacing w:after="0"/>
        <w:ind w:left="0"/>
        <w:jc w:val="both"/>
      </w:pPr>
      <w:r>
        <w:rPr>
          <w:rFonts w:ascii="Times New Roman"/>
          <w:b w:val="false"/>
          <w:i w:val="false"/>
          <w:color w:val="000000"/>
          <w:sz w:val="28"/>
        </w:rPr>
        <w:t xml:space="preserve">
      Применение эффективной ставки налогообложения при расчете средневзвешенной стоимости капитала учитывает фактор не отнесения на вычеты части расходов при расчете корпоративного подоходного налога нефтепроводной организации в соответствии с налоговым законодательством Республики Казахстан. </w:t>
      </w:r>
    </w:p>
    <w:bookmarkStart w:name="z3" w:id="4"/>
    <w:p>
      <w:pPr>
        <w:spacing w:after="0"/>
        <w:ind w:left="0"/>
        <w:jc w:val="both"/>
      </w:pP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расчету ставки</w:t>
            </w:r>
            <w:r>
              <w:br/>
            </w:r>
            <w:r>
              <w:rPr>
                <w:rFonts w:ascii="Times New Roman"/>
                <w:b w:val="false"/>
                <w:i w:val="false"/>
                <w:color w:val="000000"/>
                <w:sz w:val="20"/>
              </w:rPr>
              <w:t>прибыли на регулируемую базу задействованных</w:t>
            </w:r>
            <w:r>
              <w:br/>
            </w:r>
            <w:r>
              <w:rPr>
                <w:rFonts w:ascii="Times New Roman"/>
                <w:b w:val="false"/>
                <w:i w:val="false"/>
                <w:color w:val="000000"/>
                <w:sz w:val="20"/>
              </w:rPr>
              <w:t>активов субъектов естественной монополии,</w:t>
            </w:r>
            <w:r>
              <w:br/>
            </w:r>
            <w:r>
              <w:rPr>
                <w:rFonts w:ascii="Times New Roman"/>
                <w:b w:val="false"/>
                <w:i w:val="false"/>
                <w:color w:val="000000"/>
                <w:sz w:val="20"/>
              </w:rPr>
              <w:t>оказывающих услуги по транспортировке нефти</w:t>
            </w:r>
            <w:r>
              <w:br/>
            </w:r>
            <w:r>
              <w:rPr>
                <w:rFonts w:ascii="Times New Roman"/>
                <w:b w:val="false"/>
                <w:i w:val="false"/>
                <w:color w:val="000000"/>
                <w:sz w:val="20"/>
              </w:rPr>
              <w:t>по магистральным трубопроводам, утвержденной приказом</w:t>
            </w:r>
            <w:r>
              <w:br/>
            </w:r>
            <w:r>
              <w:rPr>
                <w:rFonts w:ascii="Times New Roman"/>
                <w:b w:val="false"/>
                <w:i w:val="false"/>
                <w:color w:val="000000"/>
                <w:sz w:val="20"/>
              </w:rPr>
              <w:t>и.о. Председателя 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5 июля 2004 г. N 304-ОД</w:t>
            </w:r>
          </w:p>
        </w:tc>
      </w:tr>
    </w:tbl>
    <w:p>
      <w:pPr>
        <w:spacing w:after="0"/>
        <w:ind w:left="0"/>
        <w:jc w:val="both"/>
      </w:pPr>
      <w:r>
        <w:rPr>
          <w:rFonts w:ascii="Times New Roman"/>
          <w:b w:val="false"/>
          <w:i w:val="false"/>
          <w:color w:val="000000"/>
          <w:sz w:val="28"/>
        </w:rPr>
        <w:t xml:space="preserve">
      Определение дефолт-спреда по кредитному рейтингу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Кредитный рейтинг              |      Дефолт-спред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Aaa                                       0 </w:t>
      </w:r>
    </w:p>
    <w:p>
      <w:pPr>
        <w:spacing w:after="0"/>
        <w:ind w:left="0"/>
        <w:jc w:val="both"/>
      </w:pPr>
      <w:r>
        <w:rPr>
          <w:rFonts w:ascii="Times New Roman"/>
          <w:b w:val="false"/>
          <w:i w:val="false"/>
          <w:color w:val="000000"/>
          <w:sz w:val="28"/>
        </w:rPr>
        <w:t xml:space="preserve">
                   Aa1                                      75 </w:t>
      </w:r>
    </w:p>
    <w:p>
      <w:pPr>
        <w:spacing w:after="0"/>
        <w:ind w:left="0"/>
        <w:jc w:val="both"/>
      </w:pPr>
      <w:r>
        <w:rPr>
          <w:rFonts w:ascii="Times New Roman"/>
          <w:b w:val="false"/>
          <w:i w:val="false"/>
          <w:color w:val="000000"/>
          <w:sz w:val="28"/>
        </w:rPr>
        <w:t xml:space="preserve">
                   Aa2                                      85 </w:t>
      </w:r>
    </w:p>
    <w:p>
      <w:pPr>
        <w:spacing w:after="0"/>
        <w:ind w:left="0"/>
        <w:jc w:val="both"/>
      </w:pPr>
      <w:r>
        <w:rPr>
          <w:rFonts w:ascii="Times New Roman"/>
          <w:b w:val="false"/>
          <w:i w:val="false"/>
          <w:color w:val="000000"/>
          <w:sz w:val="28"/>
        </w:rPr>
        <w:t xml:space="preserve">
                   Aa3                                      90 </w:t>
      </w:r>
    </w:p>
    <w:p>
      <w:pPr>
        <w:spacing w:after="0"/>
        <w:ind w:left="0"/>
        <w:jc w:val="both"/>
      </w:pPr>
      <w:r>
        <w:rPr>
          <w:rFonts w:ascii="Times New Roman"/>
          <w:b w:val="false"/>
          <w:i w:val="false"/>
          <w:color w:val="000000"/>
          <w:sz w:val="28"/>
        </w:rPr>
        <w:t xml:space="preserve">
                    A1                                     100 </w:t>
      </w:r>
    </w:p>
    <w:p>
      <w:pPr>
        <w:spacing w:after="0"/>
        <w:ind w:left="0"/>
        <w:jc w:val="both"/>
      </w:pPr>
      <w:r>
        <w:rPr>
          <w:rFonts w:ascii="Times New Roman"/>
          <w:b w:val="false"/>
          <w:i w:val="false"/>
          <w:color w:val="000000"/>
          <w:sz w:val="28"/>
        </w:rPr>
        <w:t xml:space="preserve">
                    A2                                     125 </w:t>
      </w:r>
    </w:p>
    <w:p>
      <w:pPr>
        <w:spacing w:after="0"/>
        <w:ind w:left="0"/>
        <w:jc w:val="both"/>
      </w:pPr>
      <w:r>
        <w:rPr>
          <w:rFonts w:ascii="Times New Roman"/>
          <w:b w:val="false"/>
          <w:i w:val="false"/>
          <w:color w:val="000000"/>
          <w:sz w:val="28"/>
        </w:rPr>
        <w:t xml:space="preserve">
                    A3                                     135 </w:t>
      </w:r>
    </w:p>
    <w:p>
      <w:pPr>
        <w:spacing w:after="0"/>
        <w:ind w:left="0"/>
        <w:jc w:val="both"/>
      </w:pPr>
      <w:r>
        <w:rPr>
          <w:rFonts w:ascii="Times New Roman"/>
          <w:b w:val="false"/>
          <w:i w:val="false"/>
          <w:color w:val="000000"/>
          <w:sz w:val="28"/>
        </w:rPr>
        <w:t xml:space="preserve">
                  Baa1                                     150 </w:t>
      </w:r>
    </w:p>
    <w:p>
      <w:pPr>
        <w:spacing w:after="0"/>
        <w:ind w:left="0"/>
        <w:jc w:val="both"/>
      </w:pPr>
      <w:r>
        <w:rPr>
          <w:rFonts w:ascii="Times New Roman"/>
          <w:b w:val="false"/>
          <w:i w:val="false"/>
          <w:color w:val="000000"/>
          <w:sz w:val="28"/>
        </w:rPr>
        <w:t xml:space="preserve">
                  Baa2                                     175 </w:t>
      </w:r>
    </w:p>
    <w:p>
      <w:pPr>
        <w:spacing w:after="0"/>
        <w:ind w:left="0"/>
        <w:jc w:val="both"/>
      </w:pPr>
      <w:r>
        <w:rPr>
          <w:rFonts w:ascii="Times New Roman"/>
          <w:b w:val="false"/>
          <w:i w:val="false"/>
          <w:color w:val="000000"/>
          <w:sz w:val="28"/>
        </w:rPr>
        <w:t xml:space="preserve">
                  Baa3                                     200 </w:t>
      </w:r>
    </w:p>
    <w:p>
      <w:pPr>
        <w:spacing w:after="0"/>
        <w:ind w:left="0"/>
        <w:jc w:val="both"/>
      </w:pPr>
      <w:r>
        <w:rPr>
          <w:rFonts w:ascii="Times New Roman"/>
          <w:b w:val="false"/>
          <w:i w:val="false"/>
          <w:color w:val="000000"/>
          <w:sz w:val="28"/>
        </w:rPr>
        <w:t xml:space="preserve">
                   Ba1                                     325 </w:t>
      </w:r>
    </w:p>
    <w:p>
      <w:pPr>
        <w:spacing w:after="0"/>
        <w:ind w:left="0"/>
        <w:jc w:val="both"/>
      </w:pPr>
      <w:r>
        <w:rPr>
          <w:rFonts w:ascii="Times New Roman"/>
          <w:b w:val="false"/>
          <w:i w:val="false"/>
          <w:color w:val="000000"/>
          <w:sz w:val="28"/>
        </w:rPr>
        <w:t xml:space="preserve">
                   Ba2                                     400 </w:t>
      </w:r>
    </w:p>
    <w:p>
      <w:pPr>
        <w:spacing w:after="0"/>
        <w:ind w:left="0"/>
        <w:jc w:val="both"/>
      </w:pPr>
      <w:r>
        <w:rPr>
          <w:rFonts w:ascii="Times New Roman"/>
          <w:b w:val="false"/>
          <w:i w:val="false"/>
          <w:color w:val="000000"/>
          <w:sz w:val="28"/>
        </w:rPr>
        <w:t xml:space="preserve">
                   Ba3                                     525 </w:t>
      </w:r>
    </w:p>
    <w:p>
      <w:pPr>
        <w:spacing w:after="0"/>
        <w:ind w:left="0"/>
        <w:jc w:val="both"/>
      </w:pPr>
      <w:r>
        <w:rPr>
          <w:rFonts w:ascii="Times New Roman"/>
          <w:b w:val="false"/>
          <w:i w:val="false"/>
          <w:color w:val="000000"/>
          <w:sz w:val="28"/>
        </w:rPr>
        <w:t xml:space="preserve">
                    B1                                     600 </w:t>
      </w:r>
    </w:p>
    <w:p>
      <w:pPr>
        <w:spacing w:after="0"/>
        <w:ind w:left="0"/>
        <w:jc w:val="both"/>
      </w:pPr>
      <w:r>
        <w:rPr>
          <w:rFonts w:ascii="Times New Roman"/>
          <w:b w:val="false"/>
          <w:i w:val="false"/>
          <w:color w:val="000000"/>
          <w:sz w:val="28"/>
        </w:rPr>
        <w:t xml:space="preserve">
                    B2                                     750 </w:t>
      </w:r>
    </w:p>
    <w:p>
      <w:pPr>
        <w:spacing w:after="0"/>
        <w:ind w:left="0"/>
        <w:jc w:val="both"/>
      </w:pPr>
      <w:r>
        <w:rPr>
          <w:rFonts w:ascii="Times New Roman"/>
          <w:b w:val="false"/>
          <w:i w:val="false"/>
          <w:color w:val="000000"/>
          <w:sz w:val="28"/>
        </w:rPr>
        <w:t xml:space="preserve">
                    B3                                     850 </w:t>
      </w:r>
    </w:p>
    <w:p>
      <w:pPr>
        <w:spacing w:after="0"/>
        <w:ind w:left="0"/>
        <w:jc w:val="both"/>
      </w:pPr>
      <w:r>
        <w:rPr>
          <w:rFonts w:ascii="Times New Roman"/>
          <w:b w:val="false"/>
          <w:i w:val="false"/>
          <w:color w:val="000000"/>
          <w:sz w:val="28"/>
        </w:rPr>
        <w:t xml:space="preserve">
                   Caa                                     900 </w:t>
      </w:r>
    </w:p>
    <w:p>
      <w:pPr>
        <w:spacing w:after="0"/>
        <w:ind w:left="0"/>
        <w:jc w:val="both"/>
      </w:pPr>
      <w:r>
        <w:rPr>
          <w:rFonts w:ascii="Times New Roman"/>
          <w:b w:val="false"/>
          <w:i w:val="false"/>
          <w:color w:val="000000"/>
          <w:sz w:val="28"/>
        </w:rPr>
        <w:t xml:space="preserve">
                    Ca                                    1100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дефолт-спред для каждого рейтинга рассчитывается, как усредненная разница между ставкой процента на бонды, деноминированные в долларах США, которые были выпущены страной в данном рейтинге и ставкой процента на государственные облигации США. Данный расчет использует государственные облигации США, так как они считаются практически свободными от риска дефолта. </w:t>
      </w:r>
    </w:p>
    <w:bookmarkStart w:name="z4"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расчету ставки</w:t>
            </w:r>
            <w:r>
              <w:br/>
            </w:r>
            <w:r>
              <w:rPr>
                <w:rFonts w:ascii="Times New Roman"/>
                <w:b w:val="false"/>
                <w:i w:val="false"/>
                <w:color w:val="000000"/>
                <w:sz w:val="20"/>
              </w:rPr>
              <w:t>прибыли на регулируемую базу задействованных</w:t>
            </w:r>
            <w:r>
              <w:br/>
            </w:r>
            <w:r>
              <w:rPr>
                <w:rFonts w:ascii="Times New Roman"/>
                <w:b w:val="false"/>
                <w:i w:val="false"/>
                <w:color w:val="000000"/>
                <w:sz w:val="20"/>
              </w:rPr>
              <w:t>активов субъектов естественной монополии,</w:t>
            </w:r>
            <w:r>
              <w:br/>
            </w:r>
            <w:r>
              <w:rPr>
                <w:rFonts w:ascii="Times New Roman"/>
                <w:b w:val="false"/>
                <w:i w:val="false"/>
                <w:color w:val="000000"/>
                <w:sz w:val="20"/>
              </w:rPr>
              <w:t>оказывающих услуги по транспортировке нефти</w:t>
            </w:r>
            <w:r>
              <w:br/>
            </w:r>
            <w:r>
              <w:rPr>
                <w:rFonts w:ascii="Times New Roman"/>
                <w:b w:val="false"/>
                <w:i w:val="false"/>
                <w:color w:val="000000"/>
                <w:sz w:val="20"/>
              </w:rPr>
              <w:t>по магистральным трубопроводам, утвержденной приказом</w:t>
            </w:r>
            <w:r>
              <w:br/>
            </w:r>
            <w:r>
              <w:rPr>
                <w:rFonts w:ascii="Times New Roman"/>
                <w:b w:val="false"/>
                <w:i w:val="false"/>
                <w:color w:val="000000"/>
                <w:sz w:val="20"/>
              </w:rPr>
              <w:t>и.о. Председателя 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5 июля 2004 г. N 304-ОД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коэффициента нестабильности фондового рынка </w:t>
      </w:r>
    </w:p>
    <w:p>
      <w:pPr>
        <w:spacing w:after="0"/>
        <w:ind w:left="0"/>
        <w:jc w:val="both"/>
      </w:pPr>
      <w:r>
        <w:rPr>
          <w:rFonts w:ascii="Times New Roman"/>
          <w:b w:val="false"/>
          <w:i w:val="false"/>
          <w:color w:val="000000"/>
          <w:sz w:val="28"/>
        </w:rPr>
        <w:t xml:space="preserve">
      Коэффициент волатильности = </w:t>
      </w:r>
    </w:p>
    <w:p>
      <w:pPr>
        <w:spacing w:after="0"/>
        <w:ind w:left="0"/>
        <w:jc w:val="both"/>
      </w:pPr>
      <w:r>
        <w:rPr>
          <w:rFonts w:ascii="Times New Roman"/>
          <w:b w:val="false"/>
          <w:i w:val="false"/>
          <w:color w:val="000000"/>
          <w:sz w:val="28"/>
        </w:rPr>
        <w:t xml:space="preserve">
      = среднее квадратичное отклонение фондового индекса в стране/среднее квадратичное отклонение долгосрочных государственных облигаций страны </w:t>
      </w:r>
    </w:p>
    <w:p>
      <w:pPr>
        <w:spacing w:after="0"/>
        <w:ind w:left="0"/>
        <w:jc w:val="both"/>
      </w:pPr>
      <w:r>
        <w:rPr>
          <w:rFonts w:ascii="Times New Roman"/>
          <w:b w:val="false"/>
          <w:i w:val="false"/>
          <w:color w:val="000000"/>
          <w:sz w:val="28"/>
        </w:rPr>
        <w:t xml:space="preserve">
      Расчет коэффициента волатильности глобального фондового рынка основывается на показателях 20 стран с развивающимся рынком и 12 стран с развитым рынком нефтепроводной отрасли. Для стран с развивающимся рынком коэффициент составил 1,3, для развитых стран - 1,8. Средний коэффициент нестабильности глобального фондового рынка составил 1,5. </w:t>
      </w:r>
    </w:p>
    <w:bookmarkStart w:name="z5"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расчету ставки</w:t>
            </w:r>
            <w:r>
              <w:br/>
            </w:r>
            <w:r>
              <w:rPr>
                <w:rFonts w:ascii="Times New Roman"/>
                <w:b w:val="false"/>
                <w:i w:val="false"/>
                <w:color w:val="000000"/>
                <w:sz w:val="20"/>
              </w:rPr>
              <w:t>прибыли на регулируемую базу задействованных</w:t>
            </w:r>
            <w:r>
              <w:br/>
            </w:r>
            <w:r>
              <w:rPr>
                <w:rFonts w:ascii="Times New Roman"/>
                <w:b w:val="false"/>
                <w:i w:val="false"/>
                <w:color w:val="000000"/>
                <w:sz w:val="20"/>
              </w:rPr>
              <w:t>активов субъектов естественной монополии,</w:t>
            </w:r>
            <w:r>
              <w:br/>
            </w:r>
            <w:r>
              <w:rPr>
                <w:rFonts w:ascii="Times New Roman"/>
                <w:b w:val="false"/>
                <w:i w:val="false"/>
                <w:color w:val="000000"/>
                <w:sz w:val="20"/>
              </w:rPr>
              <w:t>оказывающих услуги по транспортировке нефти</w:t>
            </w:r>
            <w:r>
              <w:br/>
            </w:r>
            <w:r>
              <w:rPr>
                <w:rFonts w:ascii="Times New Roman"/>
                <w:b w:val="false"/>
                <w:i w:val="false"/>
                <w:color w:val="000000"/>
                <w:sz w:val="20"/>
              </w:rPr>
              <w:t>по магистральным трубопроводам, утвержденной приказом</w:t>
            </w:r>
            <w:r>
              <w:br/>
            </w:r>
            <w:r>
              <w:rPr>
                <w:rFonts w:ascii="Times New Roman"/>
                <w:b w:val="false"/>
                <w:i w:val="false"/>
                <w:color w:val="000000"/>
                <w:sz w:val="20"/>
              </w:rPr>
              <w:t>и.о. Председателя 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5 июля 2004 г. N 304-ОД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премии за риск по акциям нефтепроводной отрасли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Общерыночная  |    | Безрисковая |    |    </w:t>
      </w:r>
    </w:p>
    <w:p>
      <w:pPr>
        <w:spacing w:after="0"/>
        <w:ind w:left="0"/>
        <w:jc w:val="both"/>
      </w:pPr>
      <w:r>
        <w:rPr>
          <w:rFonts w:ascii="Times New Roman"/>
          <w:b w:val="false"/>
          <w:i w:val="false"/>
          <w:color w:val="000000"/>
          <w:sz w:val="28"/>
        </w:rPr>
        <w:t xml:space="preserve">
              | доходность    |    | ставка      |    |   (r </w:t>
      </w:r>
      <w:r>
        <w:rPr>
          <w:rFonts w:ascii="Times New Roman"/>
          <w:b w:val="false"/>
          <w:i w:val="false"/>
          <w:color w:val="000000"/>
          <w:vertAlign w:val="subscript"/>
        </w:rPr>
        <w:t xml:space="preserve">m </w:t>
      </w:r>
      <w:r>
        <w:rPr>
          <w:rFonts w:ascii="Times New Roman"/>
          <w:b w:val="false"/>
          <w:i w:val="false"/>
          <w:color w:val="000000"/>
          <w:sz w:val="28"/>
        </w:rPr>
        <w:t xml:space="preserve"> -  r </w:t>
      </w:r>
      <w:r>
        <w:rPr>
          <w:rFonts w:ascii="Times New Roman"/>
          <w:b w:val="false"/>
          <w:i w:val="false"/>
          <w:color w:val="000000"/>
          <w:vertAlign w:val="subscript"/>
        </w:rPr>
        <w:t xml:space="preserve">f2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r </w:t>
      </w:r>
      <w:r>
        <w:rPr>
          <w:rFonts w:ascii="Times New Roman"/>
          <w:b w:val="false"/>
          <w:i w:val="false"/>
          <w:color w:val="000000"/>
          <w:vertAlign w:val="subscript"/>
        </w:rPr>
        <w:t xml:space="preserve">m </w:t>
      </w:r>
      <w:r>
        <w:rPr>
          <w:rFonts w:ascii="Times New Roman"/>
          <w:b w:val="false"/>
          <w:i w:val="false"/>
          <w:color w:val="000000"/>
          <w:sz w:val="28"/>
        </w:rPr>
        <w:t xml:space="preserve">         |    |  r </w:t>
      </w:r>
      <w:r>
        <w:rPr>
          <w:rFonts w:ascii="Times New Roman"/>
          <w:b w:val="false"/>
          <w:i w:val="false"/>
          <w:color w:val="000000"/>
          <w:vertAlign w:val="subscript"/>
        </w:rPr>
        <w:t xml:space="preserve">f2 </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S&amp;P 500     12,65 %       -     5,23 %      =     7,42 % </w:t>
      </w:r>
    </w:p>
    <w:p>
      <w:pPr>
        <w:spacing w:after="0"/>
        <w:ind w:left="0"/>
        <w:jc w:val="both"/>
      </w:pPr>
      <w:r>
        <w:rPr>
          <w:rFonts w:ascii="Times New Roman"/>
          <w:b w:val="false"/>
          <w:i w:val="false"/>
          <w:color w:val="000000"/>
          <w:sz w:val="28"/>
        </w:rPr>
        <w:t xml:space="preserve">
                                                        (использованная премия </w:t>
      </w:r>
    </w:p>
    <w:p>
      <w:pPr>
        <w:spacing w:after="0"/>
        <w:ind w:left="0"/>
        <w:jc w:val="both"/>
      </w:pPr>
      <w:r>
        <w:rPr>
          <w:rFonts w:ascii="Times New Roman"/>
          <w:b w:val="false"/>
          <w:i w:val="false"/>
          <w:color w:val="000000"/>
          <w:sz w:val="28"/>
        </w:rPr>
        <w:t xml:space="preserve">
                                                         за риск по акциям)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за контрольный показатель фондового рынка США принят индекс  </w:t>
      </w:r>
      <w:r>
        <w:rPr>
          <w:rFonts w:ascii="Times New Roman"/>
          <w:b w:val="false"/>
          <w:i w:val="false"/>
          <w:color w:val="000000"/>
          <w:sz w:val="28"/>
          <w:u w:val="single"/>
        </w:rPr>
        <w:t xml:space="preserve">S&amp;P </w:t>
      </w:r>
      <w:r>
        <w:rPr>
          <w:rFonts w:ascii="Times New Roman"/>
          <w:b w:val="false"/>
          <w:i w:val="false"/>
          <w:color w:val="000000"/>
          <w:sz w:val="28"/>
        </w:rPr>
        <w:t xml:space="preserve"> 500, отражающий динамику рынка в целом и являющийся одним из наиболее распространенных контрольных рыночных показателей. </w:t>
      </w:r>
    </w:p>
    <w:bookmarkStart w:name="z6" w:id="7"/>
    <w:p>
      <w:pPr>
        <w:spacing w:after="0"/>
        <w:ind w:left="0"/>
        <w:jc w:val="both"/>
      </w:pPr>
      <w:r>
        <w:rPr>
          <w:rFonts w:ascii="Times New Roman"/>
          <w:b w:val="false"/>
          <w:i w:val="false"/>
          <w:color w:val="000000"/>
          <w:sz w:val="28"/>
        </w:rPr>
        <w:t xml:space="preserve">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расчету ставки</w:t>
            </w:r>
            <w:r>
              <w:br/>
            </w:r>
            <w:r>
              <w:rPr>
                <w:rFonts w:ascii="Times New Roman"/>
                <w:b w:val="false"/>
                <w:i w:val="false"/>
                <w:color w:val="000000"/>
                <w:sz w:val="20"/>
              </w:rPr>
              <w:t>прибыли на регулируемую базу задействованных</w:t>
            </w:r>
            <w:r>
              <w:br/>
            </w:r>
            <w:r>
              <w:rPr>
                <w:rFonts w:ascii="Times New Roman"/>
                <w:b w:val="false"/>
                <w:i w:val="false"/>
                <w:color w:val="000000"/>
                <w:sz w:val="20"/>
              </w:rPr>
              <w:t>активов субъектов естественной монополии,</w:t>
            </w:r>
            <w:r>
              <w:br/>
            </w:r>
            <w:r>
              <w:rPr>
                <w:rFonts w:ascii="Times New Roman"/>
                <w:b w:val="false"/>
                <w:i w:val="false"/>
                <w:color w:val="000000"/>
                <w:sz w:val="20"/>
              </w:rPr>
              <w:t>оказывающих услуги по транспортировке нефти</w:t>
            </w:r>
            <w:r>
              <w:br/>
            </w:r>
            <w:r>
              <w:rPr>
                <w:rFonts w:ascii="Times New Roman"/>
                <w:b w:val="false"/>
                <w:i w:val="false"/>
                <w:color w:val="000000"/>
                <w:sz w:val="20"/>
              </w:rPr>
              <w:t>по магистральным трубопроводам, утвержденной приказом</w:t>
            </w:r>
            <w:r>
              <w:br/>
            </w:r>
            <w:r>
              <w:rPr>
                <w:rFonts w:ascii="Times New Roman"/>
                <w:b w:val="false"/>
                <w:i w:val="false"/>
                <w:color w:val="000000"/>
                <w:sz w:val="20"/>
              </w:rPr>
              <w:t>и.о. Председателя 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5 июля 2004 г. N 304-ОД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Отраслевые бета-коэффициенты в странах с развивающимся рынком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Сектор     | Количество фирм, | Стандартное     | Бета-коэффициент  </w:t>
      </w:r>
    </w:p>
    <w:p>
      <w:pPr>
        <w:spacing w:after="0"/>
        <w:ind w:left="0"/>
        <w:jc w:val="both"/>
      </w:pPr>
      <w:r>
        <w:rPr>
          <w:rFonts w:ascii="Times New Roman"/>
          <w:b w:val="false"/>
          <w:i w:val="false"/>
          <w:color w:val="000000"/>
          <w:sz w:val="28"/>
        </w:rPr>
        <w:t xml:space="preserve">
                      | включенных       | отклонение      | </w:t>
      </w:r>
    </w:p>
    <w:p>
      <w:pPr>
        <w:spacing w:after="0"/>
        <w:ind w:left="0"/>
        <w:jc w:val="both"/>
      </w:pPr>
      <w:r>
        <w:rPr>
          <w:rFonts w:ascii="Times New Roman"/>
          <w:b w:val="false"/>
          <w:i w:val="false"/>
          <w:color w:val="000000"/>
          <w:sz w:val="28"/>
        </w:rPr>
        <w:t xml:space="preserve">
                      | в анализ         | биржевых курсов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Интегрированные </w:t>
      </w:r>
    </w:p>
    <w:p>
      <w:pPr>
        <w:spacing w:after="0"/>
        <w:ind w:left="0"/>
        <w:jc w:val="both"/>
      </w:pPr>
      <w:r>
        <w:rPr>
          <w:rFonts w:ascii="Times New Roman"/>
          <w:b w:val="false"/>
          <w:i w:val="false"/>
          <w:color w:val="000000"/>
          <w:sz w:val="28"/>
        </w:rPr>
        <w:t xml:space="preserve">
      нефтяные компании        18               32,67%             0,88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Нефтяные компании </w:t>
      </w:r>
    </w:p>
    <w:p>
      <w:pPr>
        <w:spacing w:after="0"/>
        <w:ind w:left="0"/>
        <w:jc w:val="both"/>
      </w:pPr>
      <w:r>
        <w:rPr>
          <w:rFonts w:ascii="Times New Roman"/>
          <w:b w:val="false"/>
          <w:i w:val="false"/>
          <w:color w:val="000000"/>
          <w:sz w:val="28"/>
        </w:rPr>
        <w:t xml:space="preserve">
      по перевозке нефти        4                7,24%             0,88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Нефтяные компании - </w:t>
      </w:r>
    </w:p>
    <w:p>
      <w:pPr>
        <w:spacing w:after="0"/>
        <w:ind w:left="0"/>
        <w:jc w:val="both"/>
      </w:pPr>
      <w:r>
        <w:rPr>
          <w:rFonts w:ascii="Times New Roman"/>
          <w:b w:val="false"/>
          <w:i w:val="false"/>
          <w:color w:val="000000"/>
          <w:sz w:val="28"/>
        </w:rPr>
        <w:t xml:space="preserve">
      разведка и добыча         9               30,37%             0,76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бета-коэффициент принят на уровне 0,88 для нефтепроводной отрасли. </w:t>
      </w:r>
    </w:p>
    <w:p>
      <w:pPr>
        <w:spacing w:after="0"/>
        <w:ind w:left="0"/>
        <w:jc w:val="both"/>
      </w:pPr>
      <w:r>
        <w:rPr>
          <w:rFonts w:ascii="Times New Roman"/>
          <w:b w:val="false"/>
          <w:i w:val="false"/>
          <w:color w:val="000000"/>
          <w:sz w:val="28"/>
        </w:rPr>
        <w:t xml:space="preserve">
      Бета-коэффициент измеряет волатильность или систематический риск акций по отношению к фондовому рынку в целом. Бета-коэффициент определяется путем использования метода регрессионного анализа по  </w:t>
      </w:r>
    </w:p>
    <w:p>
      <w:pPr>
        <w:spacing w:after="0"/>
        <w:ind w:left="0"/>
        <w:jc w:val="both"/>
      </w:pPr>
      <w:r>
        <w:rPr>
          <w:rFonts w:ascii="Times New Roman"/>
          <w:b w:val="false"/>
          <w:i w:val="false"/>
          <w:color w:val="000000"/>
          <w:sz w:val="28"/>
        </w:rPr>
        <w:t xml:space="preserve">
                                     COV(R </w:t>
      </w:r>
      <w:r>
        <w:rPr>
          <w:rFonts w:ascii="Times New Roman"/>
          <w:b w:val="false"/>
          <w:i w:val="false"/>
          <w:color w:val="000000"/>
          <w:vertAlign w:val="subscript"/>
        </w:rPr>
        <w:t xml:space="preserve">i </w:t>
      </w:r>
      <w:r>
        <w:rPr>
          <w:rFonts w:ascii="Times New Roman"/>
          <w:b w:val="false"/>
          <w:i w:val="false"/>
          <w:color w:val="000000"/>
          <w:sz w:val="28"/>
        </w:rPr>
        <w:t xml:space="preserve">, R </w:t>
      </w:r>
      <w:r>
        <w:rPr>
          <w:rFonts w:ascii="Times New Roman"/>
          <w:b w:val="false"/>
          <w:i w:val="false"/>
          <w:color w:val="000000"/>
          <w:vertAlign w:val="subscript"/>
        </w:rPr>
        <w:t xml:space="preserve">m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  --------------- </w:t>
      </w:r>
    </w:p>
    <w:p>
      <w:pPr>
        <w:spacing w:after="0"/>
        <w:ind w:left="0"/>
        <w:jc w:val="both"/>
      </w:pPr>
      <w:r>
        <w:rPr>
          <w:rFonts w:ascii="Times New Roman"/>
          <w:b w:val="false"/>
          <w:i w:val="false"/>
          <w:color w:val="000000"/>
          <w:sz w:val="28"/>
        </w:rPr>
        <w:t xml:space="preserve">
                                       Q2m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i </w:t>
      </w:r>
      <w:r>
        <w:rPr>
          <w:rFonts w:ascii="Times New Roman"/>
          <w:b w:val="false"/>
          <w:i w:val="false"/>
          <w:color w:val="000000"/>
          <w:sz w:val="28"/>
        </w:rPr>
        <w:t xml:space="preserve"> - доходность акций отрасли;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 </w:t>
      </w:r>
      <w:r>
        <w:rPr>
          <w:rFonts w:ascii="Times New Roman"/>
          <w:b w:val="false"/>
          <w:i w:val="false"/>
          <w:color w:val="000000"/>
          <w:sz w:val="28"/>
        </w:rPr>
        <w:t xml:space="preserve"> - доходность фондового рынка в целом; </w:t>
      </w:r>
    </w:p>
    <w:p>
      <w:pPr>
        <w:spacing w:after="0"/>
        <w:ind w:left="0"/>
        <w:jc w:val="both"/>
      </w:pPr>
      <w:r>
        <w:rPr>
          <w:rFonts w:ascii="Times New Roman"/>
          <w:b w:val="false"/>
          <w:i w:val="false"/>
          <w:color w:val="000000"/>
          <w:sz w:val="28"/>
        </w:rPr>
        <w:t xml:space="preserve">
      Cov (R </w:t>
      </w:r>
      <w:r>
        <w:rPr>
          <w:rFonts w:ascii="Times New Roman"/>
          <w:b w:val="false"/>
          <w:i w:val="false"/>
          <w:color w:val="000000"/>
          <w:vertAlign w:val="subscript"/>
        </w:rPr>
        <w:t xml:space="preserve">i </w:t>
      </w:r>
      <w:r>
        <w:rPr>
          <w:rFonts w:ascii="Times New Roman"/>
          <w:b w:val="false"/>
          <w:i w:val="false"/>
          <w:color w:val="000000"/>
          <w:sz w:val="28"/>
        </w:rPr>
        <w:t xml:space="preserve">, R </w:t>
      </w:r>
      <w:r>
        <w:rPr>
          <w:rFonts w:ascii="Times New Roman"/>
          <w:b w:val="false"/>
          <w:i w:val="false"/>
          <w:color w:val="000000"/>
          <w:vertAlign w:val="subscript"/>
        </w:rPr>
        <w:t xml:space="preserve">m </w:t>
      </w:r>
      <w:r>
        <w:rPr>
          <w:rFonts w:ascii="Times New Roman"/>
          <w:b w:val="false"/>
          <w:i w:val="false"/>
          <w:color w:val="000000"/>
          <w:sz w:val="28"/>
        </w:rPr>
        <w:t xml:space="preserve">) - ковариация между доходностью акций отрасли и фондового рынка в целом; </w:t>
      </w:r>
    </w:p>
    <w:p>
      <w:pPr>
        <w:spacing w:after="0"/>
        <w:ind w:left="0"/>
        <w:jc w:val="both"/>
      </w:pPr>
      <w:r>
        <w:rPr>
          <w:rFonts w:ascii="Times New Roman"/>
          <w:b w:val="false"/>
          <w:i w:val="false"/>
          <w:color w:val="000000"/>
          <w:sz w:val="28"/>
        </w:rPr>
        <w:t xml:space="preserve">
      Qm </w:t>
      </w:r>
      <w:r>
        <w:rPr>
          <w:rFonts w:ascii="Times New Roman"/>
          <w:b w:val="false"/>
          <w:i w:val="false"/>
          <w:color w:val="000000"/>
          <w:vertAlign w:val="superscript"/>
        </w:rPr>
        <w:t xml:space="preserve">2 </w:t>
      </w:r>
      <w:r>
        <w:rPr>
          <w:rFonts w:ascii="Times New Roman"/>
          <w:b w:val="false"/>
          <w:i w:val="false"/>
          <w:color w:val="000000"/>
          <w:sz w:val="28"/>
        </w:rPr>
        <w:t xml:space="preserve"> - квадратичное стандартное отклонение доходности фондового рынка в целом. </w:t>
      </w:r>
    </w:p>
    <w:bookmarkStart w:name="z7" w:id="8"/>
    <w:p>
      <w:pPr>
        <w:spacing w:after="0"/>
        <w:ind w:left="0"/>
        <w:jc w:val="both"/>
      </w:pPr>
      <w:r>
        <w:rPr>
          <w:rFonts w:ascii="Times New Roman"/>
          <w:b w:val="false"/>
          <w:i w:val="false"/>
          <w:color w:val="000000"/>
          <w:sz w:val="28"/>
        </w:rPr>
        <w:t xml:space="preserve">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расчету ставки</w:t>
            </w:r>
            <w:r>
              <w:br/>
            </w:r>
            <w:r>
              <w:rPr>
                <w:rFonts w:ascii="Times New Roman"/>
                <w:b w:val="false"/>
                <w:i w:val="false"/>
                <w:color w:val="000000"/>
                <w:sz w:val="20"/>
              </w:rPr>
              <w:t>прибыли на регулируемую базу задействованных</w:t>
            </w:r>
            <w:r>
              <w:br/>
            </w:r>
            <w:r>
              <w:rPr>
                <w:rFonts w:ascii="Times New Roman"/>
                <w:b w:val="false"/>
                <w:i w:val="false"/>
                <w:color w:val="000000"/>
                <w:sz w:val="20"/>
              </w:rPr>
              <w:t>активов субъектов естественной монополии,</w:t>
            </w:r>
            <w:r>
              <w:br/>
            </w:r>
            <w:r>
              <w:rPr>
                <w:rFonts w:ascii="Times New Roman"/>
                <w:b w:val="false"/>
                <w:i w:val="false"/>
                <w:color w:val="000000"/>
                <w:sz w:val="20"/>
              </w:rPr>
              <w:t>оказывающих услуги по транспортировке нефти</w:t>
            </w:r>
            <w:r>
              <w:br/>
            </w:r>
            <w:r>
              <w:rPr>
                <w:rFonts w:ascii="Times New Roman"/>
                <w:b w:val="false"/>
                <w:i w:val="false"/>
                <w:color w:val="000000"/>
                <w:sz w:val="20"/>
              </w:rPr>
              <w:t>по магистральным трубопроводам, утвержденной приказом</w:t>
            </w:r>
            <w:r>
              <w:br/>
            </w:r>
            <w:r>
              <w:rPr>
                <w:rFonts w:ascii="Times New Roman"/>
                <w:b w:val="false"/>
                <w:i w:val="false"/>
                <w:color w:val="000000"/>
                <w:sz w:val="20"/>
              </w:rPr>
              <w:t>и.о. Председателя 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5 июля 2004 г. N 304-ОД</w:t>
            </w:r>
          </w:p>
        </w:tc>
      </w:tr>
    </w:tbl>
    <w:p>
      <w:pPr>
        <w:spacing w:after="0"/>
        <w:ind w:left="0"/>
        <w:jc w:val="both"/>
      </w:pPr>
      <w:r>
        <w:rPr>
          <w:rFonts w:ascii="Times New Roman"/>
          <w:b w:val="false"/>
          <w:i w:val="false"/>
          <w:color w:val="000000"/>
          <w:sz w:val="28"/>
        </w:rPr>
        <w:t xml:space="preserve">
      Алгоритм оценки специфических рисков, характерных </w:t>
      </w:r>
    </w:p>
    <w:p>
      <w:pPr>
        <w:spacing w:after="0"/>
        <w:ind w:left="0"/>
        <w:jc w:val="both"/>
      </w:pPr>
      <w:r>
        <w:rPr>
          <w:rFonts w:ascii="Times New Roman"/>
          <w:b w:val="false"/>
          <w:i w:val="false"/>
          <w:color w:val="000000"/>
          <w:sz w:val="28"/>
        </w:rPr>
        <w:t xml:space="preserve">
      для нефтепроводной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Фактор риска     |          Уровень риска        | Итоговый результат </w:t>
      </w:r>
    </w:p>
    <w:p>
      <w:pPr>
        <w:spacing w:after="0"/>
        <w:ind w:left="0"/>
        <w:jc w:val="both"/>
      </w:pPr>
      <w:r>
        <w:rPr>
          <w:rFonts w:ascii="Times New Roman"/>
          <w:b w:val="false"/>
          <w:i w:val="false"/>
          <w:color w:val="000000"/>
          <w:sz w:val="28"/>
        </w:rPr>
        <w:t xml:space="preserve">
                          |-------------------------------| оценки компетент- </w:t>
      </w:r>
    </w:p>
    <w:p>
      <w:pPr>
        <w:spacing w:after="0"/>
        <w:ind w:left="0"/>
        <w:jc w:val="both"/>
      </w:pPr>
      <w:r>
        <w:rPr>
          <w:rFonts w:ascii="Times New Roman"/>
          <w:b w:val="false"/>
          <w:i w:val="false"/>
          <w:color w:val="000000"/>
          <w:sz w:val="28"/>
        </w:rPr>
        <w:t xml:space="preserve">
                          | Низкий  | Средний  | Высокий  | ного органа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Текущий уровень </w:t>
      </w:r>
    </w:p>
    <w:p>
      <w:pPr>
        <w:spacing w:after="0"/>
        <w:ind w:left="0"/>
        <w:jc w:val="both"/>
      </w:pPr>
      <w:r>
        <w:rPr>
          <w:rFonts w:ascii="Times New Roman"/>
          <w:b w:val="false"/>
          <w:i w:val="false"/>
          <w:color w:val="000000"/>
          <w:sz w:val="28"/>
        </w:rPr>
        <w:t xml:space="preserve">
      тарифов на </w:t>
      </w:r>
    </w:p>
    <w:p>
      <w:pPr>
        <w:spacing w:after="0"/>
        <w:ind w:left="0"/>
        <w:jc w:val="both"/>
      </w:pPr>
      <w:r>
        <w:rPr>
          <w:rFonts w:ascii="Times New Roman"/>
          <w:b w:val="false"/>
          <w:i w:val="false"/>
          <w:color w:val="000000"/>
          <w:sz w:val="28"/>
        </w:rPr>
        <w:t xml:space="preserve">
      транспортировку          1         2          3 </w:t>
      </w:r>
    </w:p>
    <w:p>
      <w:pPr>
        <w:spacing w:after="0"/>
        <w:ind w:left="0"/>
        <w:jc w:val="both"/>
      </w:pPr>
      <w:r>
        <w:rPr>
          <w:rFonts w:ascii="Times New Roman"/>
          <w:b w:val="false"/>
          <w:i w:val="false"/>
          <w:color w:val="000000"/>
          <w:sz w:val="28"/>
        </w:rPr>
        <w:t xml:space="preserve">
      Зависимость </w:t>
      </w:r>
    </w:p>
    <w:p>
      <w:pPr>
        <w:spacing w:after="0"/>
        <w:ind w:left="0"/>
        <w:jc w:val="both"/>
      </w:pPr>
      <w:r>
        <w:rPr>
          <w:rFonts w:ascii="Times New Roman"/>
          <w:b w:val="false"/>
          <w:i w:val="false"/>
          <w:color w:val="000000"/>
          <w:sz w:val="28"/>
        </w:rPr>
        <w:t xml:space="preserve">
      от ключевых </w:t>
      </w:r>
    </w:p>
    <w:p>
      <w:pPr>
        <w:spacing w:after="0"/>
        <w:ind w:left="0"/>
        <w:jc w:val="both"/>
      </w:pPr>
      <w:r>
        <w:rPr>
          <w:rFonts w:ascii="Times New Roman"/>
          <w:b w:val="false"/>
          <w:i w:val="false"/>
          <w:color w:val="000000"/>
          <w:sz w:val="28"/>
        </w:rPr>
        <w:t xml:space="preserve">
      заказчиков               1         2          3 </w:t>
      </w:r>
    </w:p>
    <w:p>
      <w:pPr>
        <w:spacing w:after="0"/>
        <w:ind w:left="0"/>
        <w:jc w:val="both"/>
      </w:pPr>
      <w:r>
        <w:rPr>
          <w:rFonts w:ascii="Times New Roman"/>
          <w:b w:val="false"/>
          <w:i w:val="false"/>
          <w:color w:val="000000"/>
          <w:sz w:val="28"/>
        </w:rPr>
        <w:t xml:space="preserve">
      Долгосрочные планы </w:t>
      </w:r>
    </w:p>
    <w:p>
      <w:pPr>
        <w:spacing w:after="0"/>
        <w:ind w:left="0"/>
        <w:jc w:val="both"/>
      </w:pPr>
      <w:r>
        <w:rPr>
          <w:rFonts w:ascii="Times New Roman"/>
          <w:b w:val="false"/>
          <w:i w:val="false"/>
          <w:color w:val="000000"/>
          <w:sz w:val="28"/>
        </w:rPr>
        <w:t xml:space="preserve">
      развития бизнеса         1         2          3 </w:t>
      </w:r>
    </w:p>
    <w:p>
      <w:pPr>
        <w:spacing w:after="0"/>
        <w:ind w:left="0"/>
        <w:jc w:val="both"/>
      </w:pPr>
      <w:r>
        <w:rPr>
          <w:rFonts w:ascii="Times New Roman"/>
          <w:b w:val="false"/>
          <w:i w:val="false"/>
          <w:color w:val="000000"/>
          <w:sz w:val="28"/>
        </w:rPr>
        <w:t xml:space="preserve">
      Состояние ключевых </w:t>
      </w:r>
    </w:p>
    <w:p>
      <w:pPr>
        <w:spacing w:after="0"/>
        <w:ind w:left="0"/>
        <w:jc w:val="both"/>
      </w:pPr>
      <w:r>
        <w:rPr>
          <w:rFonts w:ascii="Times New Roman"/>
          <w:b w:val="false"/>
          <w:i w:val="false"/>
          <w:color w:val="000000"/>
          <w:sz w:val="28"/>
        </w:rPr>
        <w:t xml:space="preserve">
      активов                  1         2          3 </w:t>
      </w:r>
    </w:p>
    <w:p>
      <w:pPr>
        <w:spacing w:after="0"/>
        <w:ind w:left="0"/>
        <w:jc w:val="both"/>
      </w:pPr>
      <w:r>
        <w:rPr>
          <w:rFonts w:ascii="Times New Roman"/>
          <w:b w:val="false"/>
          <w:i w:val="false"/>
          <w:color w:val="000000"/>
          <w:sz w:val="28"/>
        </w:rPr>
        <w:t xml:space="preserve">
      Финансовое состояние </w:t>
      </w:r>
    </w:p>
    <w:p>
      <w:pPr>
        <w:spacing w:after="0"/>
        <w:ind w:left="0"/>
        <w:jc w:val="both"/>
      </w:pPr>
      <w:r>
        <w:rPr>
          <w:rFonts w:ascii="Times New Roman"/>
          <w:b w:val="false"/>
          <w:i w:val="false"/>
          <w:color w:val="000000"/>
          <w:sz w:val="28"/>
        </w:rPr>
        <w:t xml:space="preserve">
      бизнеса и возможности </w:t>
      </w:r>
    </w:p>
    <w:p>
      <w:pPr>
        <w:spacing w:after="0"/>
        <w:ind w:left="0"/>
        <w:jc w:val="both"/>
      </w:pPr>
      <w:r>
        <w:rPr>
          <w:rFonts w:ascii="Times New Roman"/>
          <w:b w:val="false"/>
          <w:i w:val="false"/>
          <w:color w:val="000000"/>
          <w:sz w:val="28"/>
        </w:rPr>
        <w:t xml:space="preserve">
      по финансированию </w:t>
      </w:r>
    </w:p>
    <w:p>
      <w:pPr>
        <w:spacing w:after="0"/>
        <w:ind w:left="0"/>
        <w:jc w:val="both"/>
      </w:pPr>
      <w:r>
        <w:rPr>
          <w:rFonts w:ascii="Times New Roman"/>
          <w:b w:val="false"/>
          <w:i w:val="false"/>
          <w:color w:val="000000"/>
          <w:sz w:val="28"/>
        </w:rPr>
        <w:t xml:space="preserve">
      капитальных затрат       1         2          3 </w:t>
      </w:r>
    </w:p>
    <w:p>
      <w:pPr>
        <w:spacing w:after="0"/>
        <w:ind w:left="0"/>
        <w:jc w:val="both"/>
      </w:pPr>
      <w:r>
        <w:rPr>
          <w:rFonts w:ascii="Times New Roman"/>
          <w:b w:val="false"/>
          <w:i w:val="false"/>
          <w:color w:val="000000"/>
          <w:sz w:val="28"/>
        </w:rPr>
        <w:t xml:space="preserve">
      Итого (сумма </w:t>
      </w:r>
    </w:p>
    <w:p>
      <w:pPr>
        <w:spacing w:after="0"/>
        <w:ind w:left="0"/>
        <w:jc w:val="both"/>
      </w:pPr>
      <w:r>
        <w:rPr>
          <w:rFonts w:ascii="Times New Roman"/>
          <w:b w:val="false"/>
          <w:i w:val="false"/>
          <w:color w:val="000000"/>
          <w:sz w:val="28"/>
        </w:rPr>
        <w:t xml:space="preserve">
      результатов)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Расчетный уровень </w:t>
      </w:r>
    </w:p>
    <w:p>
      <w:pPr>
        <w:spacing w:after="0"/>
        <w:ind w:left="0"/>
        <w:jc w:val="both"/>
      </w:pPr>
      <w:r>
        <w:rPr>
          <w:rFonts w:ascii="Times New Roman"/>
          <w:b w:val="false"/>
          <w:i w:val="false"/>
          <w:color w:val="000000"/>
          <w:sz w:val="28"/>
        </w:rPr>
        <w:t xml:space="preserve">
      риска (средний)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Алгоритм расчета величины факторов риска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Фактор риска      |  Оценка риска     |      Проявления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Уровень тарифов           Низкий           Высокий уровень тарифов </w:t>
      </w:r>
    </w:p>
    <w:p>
      <w:pPr>
        <w:spacing w:after="0"/>
        <w:ind w:left="0"/>
        <w:jc w:val="both"/>
      </w:pPr>
      <w:r>
        <w:rPr>
          <w:rFonts w:ascii="Times New Roman"/>
          <w:b w:val="false"/>
          <w:i w:val="false"/>
          <w:color w:val="000000"/>
          <w:sz w:val="28"/>
        </w:rPr>
        <w:t xml:space="preserve">
                                                 (выше среднеотраслевого) </w:t>
      </w:r>
    </w:p>
    <w:p>
      <w:pPr>
        <w:spacing w:after="0"/>
        <w:ind w:left="0"/>
        <w:jc w:val="both"/>
      </w:pPr>
      <w:r>
        <w:rPr>
          <w:rFonts w:ascii="Times New Roman"/>
          <w:b w:val="false"/>
          <w:i w:val="false"/>
          <w:color w:val="000000"/>
          <w:sz w:val="28"/>
        </w:rPr>
        <w:t xml:space="preserve">
                                Средний          Средний уровень тарифов </w:t>
      </w:r>
    </w:p>
    <w:p>
      <w:pPr>
        <w:spacing w:after="0"/>
        <w:ind w:left="0"/>
        <w:jc w:val="both"/>
      </w:pPr>
      <w:r>
        <w:rPr>
          <w:rFonts w:ascii="Times New Roman"/>
          <w:b w:val="false"/>
          <w:i w:val="false"/>
          <w:color w:val="000000"/>
          <w:sz w:val="28"/>
        </w:rPr>
        <w:t xml:space="preserve">
                                                 (среднеотраслевой) </w:t>
      </w:r>
    </w:p>
    <w:p>
      <w:pPr>
        <w:spacing w:after="0"/>
        <w:ind w:left="0"/>
        <w:jc w:val="both"/>
      </w:pPr>
      <w:r>
        <w:rPr>
          <w:rFonts w:ascii="Times New Roman"/>
          <w:b w:val="false"/>
          <w:i w:val="false"/>
          <w:color w:val="000000"/>
          <w:sz w:val="28"/>
        </w:rPr>
        <w:t xml:space="preserve">
                                Высокий          Низкий уровень тарифов </w:t>
      </w:r>
    </w:p>
    <w:p>
      <w:pPr>
        <w:spacing w:after="0"/>
        <w:ind w:left="0"/>
        <w:jc w:val="both"/>
      </w:pPr>
      <w:r>
        <w:rPr>
          <w:rFonts w:ascii="Times New Roman"/>
          <w:b w:val="false"/>
          <w:i w:val="false"/>
          <w:color w:val="000000"/>
          <w:sz w:val="28"/>
        </w:rPr>
        <w:t xml:space="preserve">
                                                 (операционные убытки) </w:t>
      </w:r>
    </w:p>
    <w:p>
      <w:pPr>
        <w:spacing w:after="0"/>
        <w:ind w:left="0"/>
        <w:jc w:val="both"/>
      </w:pPr>
      <w:r>
        <w:rPr>
          <w:rFonts w:ascii="Times New Roman"/>
          <w:b w:val="false"/>
          <w:i w:val="false"/>
          <w:color w:val="000000"/>
          <w:sz w:val="28"/>
        </w:rPr>
        <w:t xml:space="preserve">
      Зависимость от            Низкий           Широкая и диверсифицированная </w:t>
      </w:r>
    </w:p>
    <w:p>
      <w:pPr>
        <w:spacing w:after="0"/>
        <w:ind w:left="0"/>
        <w:jc w:val="both"/>
      </w:pPr>
      <w:r>
        <w:rPr>
          <w:rFonts w:ascii="Times New Roman"/>
          <w:b w:val="false"/>
          <w:i w:val="false"/>
          <w:color w:val="000000"/>
          <w:sz w:val="28"/>
        </w:rPr>
        <w:t xml:space="preserve">
      ключевых заказчиков                        база клиентов. </w:t>
      </w:r>
    </w:p>
    <w:p>
      <w:pPr>
        <w:spacing w:after="0"/>
        <w:ind w:left="0"/>
        <w:jc w:val="both"/>
      </w:pPr>
      <w:r>
        <w:rPr>
          <w:rFonts w:ascii="Times New Roman"/>
          <w:b w:val="false"/>
          <w:i w:val="false"/>
          <w:color w:val="000000"/>
          <w:sz w:val="28"/>
        </w:rPr>
        <w:t xml:space="preserve">
                                Средний          Наличие нескольких значимых </w:t>
      </w:r>
    </w:p>
    <w:p>
      <w:pPr>
        <w:spacing w:after="0"/>
        <w:ind w:left="0"/>
        <w:jc w:val="both"/>
      </w:pPr>
      <w:r>
        <w:rPr>
          <w:rFonts w:ascii="Times New Roman"/>
          <w:b w:val="false"/>
          <w:i w:val="false"/>
          <w:color w:val="000000"/>
          <w:sz w:val="28"/>
        </w:rPr>
        <w:t xml:space="preserve">
                                                 клиентов, уход одного или </w:t>
      </w:r>
    </w:p>
    <w:p>
      <w:pPr>
        <w:spacing w:after="0"/>
        <w:ind w:left="0"/>
        <w:jc w:val="both"/>
      </w:pPr>
      <w:r>
        <w:rPr>
          <w:rFonts w:ascii="Times New Roman"/>
          <w:b w:val="false"/>
          <w:i w:val="false"/>
          <w:color w:val="000000"/>
          <w:sz w:val="28"/>
        </w:rPr>
        <w:t xml:space="preserve">
                                                 нескольких из которых не </w:t>
      </w:r>
    </w:p>
    <w:p>
      <w:pPr>
        <w:spacing w:after="0"/>
        <w:ind w:left="0"/>
        <w:jc w:val="both"/>
      </w:pPr>
      <w:r>
        <w:rPr>
          <w:rFonts w:ascii="Times New Roman"/>
          <w:b w:val="false"/>
          <w:i w:val="false"/>
          <w:color w:val="000000"/>
          <w:sz w:val="28"/>
        </w:rPr>
        <w:t xml:space="preserve">
                                                 окажет влияния на операционные </w:t>
      </w:r>
    </w:p>
    <w:p>
      <w:pPr>
        <w:spacing w:after="0"/>
        <w:ind w:left="0"/>
        <w:jc w:val="both"/>
      </w:pPr>
      <w:r>
        <w:rPr>
          <w:rFonts w:ascii="Times New Roman"/>
          <w:b w:val="false"/>
          <w:i w:val="false"/>
          <w:color w:val="000000"/>
          <w:sz w:val="28"/>
        </w:rPr>
        <w:t xml:space="preserve">
                                                 или финансовые результаты </w:t>
      </w:r>
    </w:p>
    <w:p>
      <w:pPr>
        <w:spacing w:after="0"/>
        <w:ind w:left="0"/>
        <w:jc w:val="both"/>
      </w:pPr>
      <w:r>
        <w:rPr>
          <w:rFonts w:ascii="Times New Roman"/>
          <w:b w:val="false"/>
          <w:i w:val="false"/>
          <w:color w:val="000000"/>
          <w:sz w:val="28"/>
        </w:rPr>
        <w:t xml:space="preserve">
                                                 компании. </w:t>
      </w:r>
    </w:p>
    <w:p>
      <w:pPr>
        <w:spacing w:after="0"/>
        <w:ind w:left="0"/>
        <w:jc w:val="both"/>
      </w:pPr>
      <w:r>
        <w:rPr>
          <w:rFonts w:ascii="Times New Roman"/>
          <w:b w:val="false"/>
          <w:i w:val="false"/>
          <w:color w:val="000000"/>
          <w:sz w:val="28"/>
        </w:rPr>
        <w:t xml:space="preserve">
                                Высокий          Наличие нескольких крупных </w:t>
      </w:r>
    </w:p>
    <w:p>
      <w:pPr>
        <w:spacing w:after="0"/>
        <w:ind w:left="0"/>
        <w:jc w:val="both"/>
      </w:pPr>
      <w:r>
        <w:rPr>
          <w:rFonts w:ascii="Times New Roman"/>
          <w:b w:val="false"/>
          <w:i w:val="false"/>
          <w:color w:val="000000"/>
          <w:sz w:val="28"/>
        </w:rPr>
        <w:t xml:space="preserve">
                                                 клиентов, уход одного или </w:t>
      </w:r>
    </w:p>
    <w:p>
      <w:pPr>
        <w:spacing w:after="0"/>
        <w:ind w:left="0"/>
        <w:jc w:val="both"/>
      </w:pPr>
      <w:r>
        <w:rPr>
          <w:rFonts w:ascii="Times New Roman"/>
          <w:b w:val="false"/>
          <w:i w:val="false"/>
          <w:color w:val="000000"/>
          <w:sz w:val="28"/>
        </w:rPr>
        <w:t xml:space="preserve">
                                                 нескольких из которых может </w:t>
      </w:r>
    </w:p>
    <w:p>
      <w:pPr>
        <w:spacing w:after="0"/>
        <w:ind w:left="0"/>
        <w:jc w:val="both"/>
      </w:pPr>
      <w:r>
        <w:rPr>
          <w:rFonts w:ascii="Times New Roman"/>
          <w:b w:val="false"/>
          <w:i w:val="false"/>
          <w:color w:val="000000"/>
          <w:sz w:val="28"/>
        </w:rPr>
        <w:t xml:space="preserve">
                                                 оказать существенное влияние </w:t>
      </w:r>
    </w:p>
    <w:p>
      <w:pPr>
        <w:spacing w:after="0"/>
        <w:ind w:left="0"/>
        <w:jc w:val="both"/>
      </w:pPr>
      <w:r>
        <w:rPr>
          <w:rFonts w:ascii="Times New Roman"/>
          <w:b w:val="false"/>
          <w:i w:val="false"/>
          <w:color w:val="000000"/>
          <w:sz w:val="28"/>
        </w:rPr>
        <w:t xml:space="preserve">
                                                 на результаты деятельности </w:t>
      </w:r>
    </w:p>
    <w:p>
      <w:pPr>
        <w:spacing w:after="0"/>
        <w:ind w:left="0"/>
        <w:jc w:val="both"/>
      </w:pPr>
      <w:r>
        <w:rPr>
          <w:rFonts w:ascii="Times New Roman"/>
          <w:b w:val="false"/>
          <w:i w:val="false"/>
          <w:color w:val="000000"/>
          <w:sz w:val="28"/>
        </w:rPr>
        <w:t xml:space="preserve">
                                                 компании. </w:t>
      </w:r>
    </w:p>
    <w:p>
      <w:pPr>
        <w:spacing w:after="0"/>
        <w:ind w:left="0"/>
        <w:jc w:val="both"/>
      </w:pPr>
      <w:r>
        <w:rPr>
          <w:rFonts w:ascii="Times New Roman"/>
          <w:b w:val="false"/>
          <w:i w:val="false"/>
          <w:color w:val="000000"/>
          <w:sz w:val="28"/>
        </w:rPr>
        <w:t xml:space="preserve">
      Потенциал бизнеса         Низкий           Хорошие перспективы развития </w:t>
      </w:r>
    </w:p>
    <w:p>
      <w:pPr>
        <w:spacing w:after="0"/>
        <w:ind w:left="0"/>
        <w:jc w:val="both"/>
      </w:pPr>
      <w:r>
        <w:rPr>
          <w:rFonts w:ascii="Times New Roman"/>
          <w:b w:val="false"/>
          <w:i w:val="false"/>
          <w:color w:val="000000"/>
          <w:sz w:val="28"/>
        </w:rPr>
        <w:t xml:space="preserve">
                                                 региональной экономики, </w:t>
      </w:r>
    </w:p>
    <w:p>
      <w:pPr>
        <w:spacing w:after="0"/>
        <w:ind w:left="0"/>
        <w:jc w:val="both"/>
      </w:pPr>
      <w:r>
        <w:rPr>
          <w:rFonts w:ascii="Times New Roman"/>
          <w:b w:val="false"/>
          <w:i w:val="false"/>
          <w:color w:val="000000"/>
          <w:sz w:val="28"/>
        </w:rPr>
        <w:t xml:space="preserve">
                                                 увеличение спроса со стороны </w:t>
      </w:r>
    </w:p>
    <w:p>
      <w:pPr>
        <w:spacing w:after="0"/>
        <w:ind w:left="0"/>
        <w:jc w:val="both"/>
      </w:pPr>
      <w:r>
        <w:rPr>
          <w:rFonts w:ascii="Times New Roman"/>
          <w:b w:val="false"/>
          <w:i w:val="false"/>
          <w:color w:val="000000"/>
          <w:sz w:val="28"/>
        </w:rPr>
        <w:t xml:space="preserve">
                                                 предприятий, рост доходов </w:t>
      </w:r>
    </w:p>
    <w:p>
      <w:pPr>
        <w:spacing w:after="0"/>
        <w:ind w:left="0"/>
        <w:jc w:val="both"/>
      </w:pP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
                                                 Возможность роста </w:t>
      </w:r>
    </w:p>
    <w:p>
      <w:pPr>
        <w:spacing w:after="0"/>
        <w:ind w:left="0"/>
        <w:jc w:val="both"/>
      </w:pPr>
      <w:r>
        <w:rPr>
          <w:rFonts w:ascii="Times New Roman"/>
          <w:b w:val="false"/>
          <w:i w:val="false"/>
          <w:color w:val="000000"/>
          <w:sz w:val="28"/>
        </w:rPr>
        <w:t xml:space="preserve">
                                                 объемов прокачки, расширение </w:t>
      </w:r>
    </w:p>
    <w:p>
      <w:pPr>
        <w:spacing w:after="0"/>
        <w:ind w:left="0"/>
        <w:jc w:val="both"/>
      </w:pPr>
      <w:r>
        <w:rPr>
          <w:rFonts w:ascii="Times New Roman"/>
          <w:b w:val="false"/>
          <w:i w:val="false"/>
          <w:color w:val="000000"/>
          <w:sz w:val="28"/>
        </w:rPr>
        <w:t xml:space="preserve">
                                                 базы клиентов и экспансия </w:t>
      </w:r>
    </w:p>
    <w:p>
      <w:pPr>
        <w:spacing w:after="0"/>
        <w:ind w:left="0"/>
        <w:jc w:val="both"/>
      </w:pPr>
      <w:r>
        <w:rPr>
          <w:rFonts w:ascii="Times New Roman"/>
          <w:b w:val="false"/>
          <w:i w:val="false"/>
          <w:color w:val="000000"/>
          <w:sz w:val="28"/>
        </w:rPr>
        <w:t xml:space="preserve">
                                                 в другие регионы </w:t>
      </w:r>
    </w:p>
    <w:p>
      <w:pPr>
        <w:spacing w:after="0"/>
        <w:ind w:left="0"/>
        <w:jc w:val="both"/>
      </w:pPr>
      <w:r>
        <w:rPr>
          <w:rFonts w:ascii="Times New Roman"/>
          <w:b w:val="false"/>
          <w:i w:val="false"/>
          <w:color w:val="000000"/>
          <w:sz w:val="28"/>
        </w:rPr>
        <w:t xml:space="preserve">
                                Средний          Перспективы умеренного </w:t>
      </w:r>
    </w:p>
    <w:p>
      <w:pPr>
        <w:spacing w:after="0"/>
        <w:ind w:left="0"/>
        <w:jc w:val="both"/>
      </w:pPr>
      <w:r>
        <w:rPr>
          <w:rFonts w:ascii="Times New Roman"/>
          <w:b w:val="false"/>
          <w:i w:val="false"/>
          <w:color w:val="000000"/>
          <w:sz w:val="28"/>
        </w:rPr>
        <w:t xml:space="preserve">
                                                 регионального экономического </w:t>
      </w:r>
    </w:p>
    <w:p>
      <w:pPr>
        <w:spacing w:after="0"/>
        <w:ind w:left="0"/>
        <w:jc w:val="both"/>
      </w:pPr>
      <w:r>
        <w:rPr>
          <w:rFonts w:ascii="Times New Roman"/>
          <w:b w:val="false"/>
          <w:i w:val="false"/>
          <w:color w:val="000000"/>
          <w:sz w:val="28"/>
        </w:rPr>
        <w:t xml:space="preserve">
                                                 роста;  </w:t>
      </w:r>
    </w:p>
    <w:p>
      <w:pPr>
        <w:spacing w:after="0"/>
        <w:ind w:left="0"/>
        <w:jc w:val="both"/>
      </w:pPr>
      <w:r>
        <w:rPr>
          <w:rFonts w:ascii="Times New Roman"/>
          <w:b w:val="false"/>
          <w:i w:val="false"/>
          <w:color w:val="000000"/>
          <w:sz w:val="28"/>
        </w:rPr>
        <w:t xml:space="preserve">
                                                 Ожидается стабильный </w:t>
      </w:r>
    </w:p>
    <w:p>
      <w:pPr>
        <w:spacing w:after="0"/>
        <w:ind w:left="0"/>
        <w:jc w:val="both"/>
      </w:pPr>
      <w:r>
        <w:rPr>
          <w:rFonts w:ascii="Times New Roman"/>
          <w:b w:val="false"/>
          <w:i w:val="false"/>
          <w:color w:val="000000"/>
          <w:sz w:val="28"/>
        </w:rPr>
        <w:t xml:space="preserve">
                                                 спрос без существенного </w:t>
      </w:r>
    </w:p>
    <w:p>
      <w:pPr>
        <w:spacing w:after="0"/>
        <w:ind w:left="0"/>
        <w:jc w:val="both"/>
      </w:pPr>
      <w:r>
        <w:rPr>
          <w:rFonts w:ascii="Times New Roman"/>
          <w:b w:val="false"/>
          <w:i w:val="false"/>
          <w:color w:val="000000"/>
          <w:sz w:val="28"/>
        </w:rPr>
        <w:t xml:space="preserve">
                                                 увеличения </w:t>
      </w:r>
    </w:p>
    <w:p>
      <w:pPr>
        <w:spacing w:after="0"/>
        <w:ind w:left="0"/>
        <w:jc w:val="both"/>
      </w:pPr>
      <w:r>
        <w:rPr>
          <w:rFonts w:ascii="Times New Roman"/>
          <w:b w:val="false"/>
          <w:i w:val="false"/>
          <w:color w:val="000000"/>
          <w:sz w:val="28"/>
        </w:rPr>
        <w:t xml:space="preserve">
                                Высокий          Пессимистичный прогноз </w:t>
      </w:r>
    </w:p>
    <w:p>
      <w:pPr>
        <w:spacing w:after="0"/>
        <w:ind w:left="0"/>
        <w:jc w:val="both"/>
      </w:pPr>
      <w:r>
        <w:rPr>
          <w:rFonts w:ascii="Times New Roman"/>
          <w:b w:val="false"/>
          <w:i w:val="false"/>
          <w:color w:val="000000"/>
          <w:sz w:val="28"/>
        </w:rPr>
        <w:t xml:space="preserve">
                                                 экономического развития </w:t>
      </w:r>
    </w:p>
    <w:p>
      <w:pPr>
        <w:spacing w:after="0"/>
        <w:ind w:left="0"/>
        <w:jc w:val="both"/>
      </w:pPr>
      <w:r>
        <w:rPr>
          <w:rFonts w:ascii="Times New Roman"/>
          <w:b w:val="false"/>
          <w:i w:val="false"/>
          <w:color w:val="000000"/>
          <w:sz w:val="28"/>
        </w:rPr>
        <w:t xml:space="preserve">
                                                 в регионе, существование </w:t>
      </w:r>
    </w:p>
    <w:p>
      <w:pPr>
        <w:spacing w:after="0"/>
        <w:ind w:left="0"/>
        <w:jc w:val="both"/>
      </w:pPr>
      <w:r>
        <w:rPr>
          <w:rFonts w:ascii="Times New Roman"/>
          <w:b w:val="false"/>
          <w:i w:val="false"/>
          <w:color w:val="000000"/>
          <w:sz w:val="28"/>
        </w:rPr>
        <w:t xml:space="preserve">
                                                 определенной вероятности спада; </w:t>
      </w:r>
    </w:p>
    <w:p>
      <w:pPr>
        <w:spacing w:after="0"/>
        <w:ind w:left="0"/>
        <w:jc w:val="both"/>
      </w:pPr>
      <w:r>
        <w:rPr>
          <w:rFonts w:ascii="Times New Roman"/>
          <w:b w:val="false"/>
          <w:i w:val="false"/>
          <w:color w:val="000000"/>
          <w:sz w:val="28"/>
        </w:rPr>
        <w:t xml:space="preserve">
                                                 Недостаток мощностей и </w:t>
      </w:r>
    </w:p>
    <w:p>
      <w:pPr>
        <w:spacing w:after="0"/>
        <w:ind w:left="0"/>
        <w:jc w:val="both"/>
      </w:pPr>
      <w:r>
        <w:rPr>
          <w:rFonts w:ascii="Times New Roman"/>
          <w:b w:val="false"/>
          <w:i w:val="false"/>
          <w:color w:val="000000"/>
          <w:sz w:val="28"/>
        </w:rPr>
        <w:t xml:space="preserve">
                                                 практически полное отсутствие </w:t>
      </w:r>
    </w:p>
    <w:p>
      <w:pPr>
        <w:spacing w:after="0"/>
        <w:ind w:left="0"/>
        <w:jc w:val="both"/>
      </w:pPr>
      <w:r>
        <w:rPr>
          <w:rFonts w:ascii="Times New Roman"/>
          <w:b w:val="false"/>
          <w:i w:val="false"/>
          <w:color w:val="000000"/>
          <w:sz w:val="28"/>
        </w:rPr>
        <w:t xml:space="preserve">
                                                 перспектив увеличения поставок. </w:t>
      </w:r>
    </w:p>
    <w:p>
      <w:pPr>
        <w:spacing w:after="0"/>
        <w:ind w:left="0"/>
        <w:jc w:val="both"/>
      </w:pPr>
      <w:r>
        <w:rPr>
          <w:rFonts w:ascii="Times New Roman"/>
          <w:b w:val="false"/>
          <w:i w:val="false"/>
          <w:color w:val="000000"/>
          <w:sz w:val="28"/>
        </w:rPr>
        <w:t xml:space="preserve">
                                                 Определенная вероятность </w:t>
      </w:r>
    </w:p>
    <w:p>
      <w:pPr>
        <w:spacing w:after="0"/>
        <w:ind w:left="0"/>
        <w:jc w:val="both"/>
      </w:pPr>
      <w:r>
        <w:rPr>
          <w:rFonts w:ascii="Times New Roman"/>
          <w:b w:val="false"/>
          <w:i w:val="false"/>
          <w:color w:val="000000"/>
          <w:sz w:val="28"/>
        </w:rPr>
        <w:t xml:space="preserve">
                                                 снижения объемов прокачки.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Низкий           Износ основных средств - </w:t>
      </w:r>
    </w:p>
    <w:p>
      <w:pPr>
        <w:spacing w:after="0"/>
        <w:ind w:left="0"/>
        <w:jc w:val="both"/>
      </w:pPr>
      <w:r>
        <w:rPr>
          <w:rFonts w:ascii="Times New Roman"/>
          <w:b w:val="false"/>
          <w:i w:val="false"/>
          <w:color w:val="000000"/>
          <w:sz w:val="28"/>
        </w:rPr>
        <w:t xml:space="preserve">
      ключевых активов                           до 40%. </w:t>
      </w:r>
    </w:p>
    <w:p>
      <w:pPr>
        <w:spacing w:after="0"/>
        <w:ind w:left="0"/>
        <w:jc w:val="both"/>
      </w:pPr>
      <w:r>
        <w:rPr>
          <w:rFonts w:ascii="Times New Roman"/>
          <w:b w:val="false"/>
          <w:i w:val="false"/>
          <w:color w:val="000000"/>
          <w:sz w:val="28"/>
        </w:rPr>
        <w:t xml:space="preserve">
                                Средний          Износ основных средств - </w:t>
      </w:r>
    </w:p>
    <w:p>
      <w:pPr>
        <w:spacing w:after="0"/>
        <w:ind w:left="0"/>
        <w:jc w:val="both"/>
      </w:pPr>
      <w:r>
        <w:rPr>
          <w:rFonts w:ascii="Times New Roman"/>
          <w:b w:val="false"/>
          <w:i w:val="false"/>
          <w:color w:val="000000"/>
          <w:sz w:val="28"/>
        </w:rPr>
        <w:t xml:space="preserve">
                                                 от 40% до 70%. </w:t>
      </w:r>
    </w:p>
    <w:p>
      <w:pPr>
        <w:spacing w:after="0"/>
        <w:ind w:left="0"/>
        <w:jc w:val="both"/>
      </w:pPr>
      <w:r>
        <w:rPr>
          <w:rFonts w:ascii="Times New Roman"/>
          <w:b w:val="false"/>
          <w:i w:val="false"/>
          <w:color w:val="000000"/>
          <w:sz w:val="28"/>
        </w:rPr>
        <w:t xml:space="preserve">
                                Высокий          Износ основных средств - </w:t>
      </w:r>
    </w:p>
    <w:p>
      <w:pPr>
        <w:spacing w:after="0"/>
        <w:ind w:left="0"/>
        <w:jc w:val="both"/>
      </w:pPr>
      <w:r>
        <w:rPr>
          <w:rFonts w:ascii="Times New Roman"/>
          <w:b w:val="false"/>
          <w:i w:val="false"/>
          <w:color w:val="000000"/>
          <w:sz w:val="28"/>
        </w:rPr>
        <w:t xml:space="preserve">
                                                 свыше 70%. </w:t>
      </w:r>
    </w:p>
    <w:p>
      <w:pPr>
        <w:spacing w:after="0"/>
        <w:ind w:left="0"/>
        <w:jc w:val="both"/>
      </w:pPr>
      <w:r>
        <w:rPr>
          <w:rFonts w:ascii="Times New Roman"/>
          <w:b w:val="false"/>
          <w:i w:val="false"/>
          <w:color w:val="000000"/>
          <w:sz w:val="28"/>
        </w:rPr>
        <w:t xml:space="preserve">
      Финансовое состояние      Низкий           Высокий уровень  </w:t>
      </w:r>
    </w:p>
    <w:p>
      <w:pPr>
        <w:spacing w:after="0"/>
        <w:ind w:left="0"/>
        <w:jc w:val="both"/>
      </w:pPr>
      <w:r>
        <w:rPr>
          <w:rFonts w:ascii="Times New Roman"/>
          <w:b w:val="false"/>
          <w:i w:val="false"/>
          <w:color w:val="000000"/>
          <w:sz w:val="28"/>
        </w:rPr>
        <w:t xml:space="preserve">
      бизнеса и возможности                      ликвидности:   </w:t>
      </w:r>
    </w:p>
    <w:p>
      <w:pPr>
        <w:spacing w:after="0"/>
        <w:ind w:left="0"/>
        <w:jc w:val="both"/>
      </w:pPr>
      <w:r>
        <w:rPr>
          <w:rFonts w:ascii="Times New Roman"/>
          <w:b w:val="false"/>
          <w:i w:val="false"/>
          <w:color w:val="000000"/>
          <w:sz w:val="28"/>
        </w:rPr>
        <w:t xml:space="preserve">
      по финансированию                          Коэффициент ликвидности &gt;2 </w:t>
      </w:r>
    </w:p>
    <w:p>
      <w:pPr>
        <w:spacing w:after="0"/>
        <w:ind w:left="0"/>
        <w:jc w:val="both"/>
      </w:pPr>
      <w:r>
        <w:rPr>
          <w:rFonts w:ascii="Times New Roman"/>
          <w:b w:val="false"/>
          <w:i w:val="false"/>
          <w:color w:val="000000"/>
          <w:sz w:val="28"/>
        </w:rPr>
        <w:t xml:space="preserve">
      капитальных затрат                         Коэффициент мгновенной </w:t>
      </w:r>
    </w:p>
    <w:p>
      <w:pPr>
        <w:spacing w:after="0"/>
        <w:ind w:left="0"/>
        <w:jc w:val="both"/>
      </w:pPr>
      <w:r>
        <w:rPr>
          <w:rFonts w:ascii="Times New Roman"/>
          <w:b w:val="false"/>
          <w:i w:val="false"/>
          <w:color w:val="000000"/>
          <w:sz w:val="28"/>
        </w:rPr>
        <w:t xml:space="preserve">
                                                 ликвидности &gt;1 </w:t>
      </w:r>
    </w:p>
    <w:p>
      <w:pPr>
        <w:spacing w:after="0"/>
        <w:ind w:left="0"/>
        <w:jc w:val="both"/>
      </w:pPr>
      <w:r>
        <w:rPr>
          <w:rFonts w:ascii="Times New Roman"/>
          <w:b w:val="false"/>
          <w:i w:val="false"/>
          <w:color w:val="000000"/>
          <w:sz w:val="28"/>
        </w:rPr>
        <w:t xml:space="preserve">
                                                 Низкий уровень заимствований: </w:t>
      </w:r>
    </w:p>
    <w:p>
      <w:pPr>
        <w:spacing w:after="0"/>
        <w:ind w:left="0"/>
        <w:jc w:val="both"/>
      </w:pPr>
      <w:r>
        <w:rPr>
          <w:rFonts w:ascii="Times New Roman"/>
          <w:b w:val="false"/>
          <w:i w:val="false"/>
          <w:color w:val="000000"/>
          <w:sz w:val="28"/>
        </w:rPr>
        <w:t xml:space="preserve">
                                                 Соотношение собственных и </w:t>
      </w:r>
    </w:p>
    <w:p>
      <w:pPr>
        <w:spacing w:after="0"/>
        <w:ind w:left="0"/>
        <w:jc w:val="both"/>
      </w:pPr>
      <w:r>
        <w:rPr>
          <w:rFonts w:ascii="Times New Roman"/>
          <w:b w:val="false"/>
          <w:i w:val="false"/>
          <w:color w:val="000000"/>
          <w:sz w:val="28"/>
        </w:rPr>
        <w:t xml:space="preserve">
                                                 заемных средств &gt;3 </w:t>
      </w:r>
    </w:p>
    <w:p>
      <w:pPr>
        <w:spacing w:after="0"/>
        <w:ind w:left="0"/>
        <w:jc w:val="both"/>
      </w:pPr>
      <w:r>
        <w:rPr>
          <w:rFonts w:ascii="Times New Roman"/>
          <w:b w:val="false"/>
          <w:i w:val="false"/>
          <w:color w:val="000000"/>
          <w:sz w:val="28"/>
        </w:rPr>
        <w:t xml:space="preserve">
                                                 Займы/задействованный </w:t>
      </w:r>
    </w:p>
    <w:p>
      <w:pPr>
        <w:spacing w:after="0"/>
        <w:ind w:left="0"/>
        <w:jc w:val="both"/>
      </w:pPr>
      <w:r>
        <w:rPr>
          <w:rFonts w:ascii="Times New Roman"/>
          <w:b w:val="false"/>
          <w:i w:val="false"/>
          <w:color w:val="000000"/>
          <w:sz w:val="28"/>
        </w:rPr>
        <w:t xml:space="preserve">
                                                 капитал &lt;0,3  </w:t>
      </w:r>
    </w:p>
    <w:p>
      <w:pPr>
        <w:spacing w:after="0"/>
        <w:ind w:left="0"/>
        <w:jc w:val="both"/>
      </w:pPr>
      <w:r>
        <w:rPr>
          <w:rFonts w:ascii="Times New Roman"/>
          <w:b w:val="false"/>
          <w:i w:val="false"/>
          <w:color w:val="000000"/>
          <w:sz w:val="28"/>
        </w:rPr>
        <w:t xml:space="preserve">
                                Средний          Средний уровень ликвидности: </w:t>
      </w:r>
    </w:p>
    <w:p>
      <w:pPr>
        <w:spacing w:after="0"/>
        <w:ind w:left="0"/>
        <w:jc w:val="both"/>
      </w:pPr>
      <w:r>
        <w:rPr>
          <w:rFonts w:ascii="Times New Roman"/>
          <w:b w:val="false"/>
          <w:i w:val="false"/>
          <w:color w:val="000000"/>
          <w:sz w:val="28"/>
        </w:rPr>
        <w:t xml:space="preserve">
                                                 Коэффициент ликвидности &gt;1 </w:t>
      </w:r>
    </w:p>
    <w:p>
      <w:pPr>
        <w:spacing w:after="0"/>
        <w:ind w:left="0"/>
        <w:jc w:val="both"/>
      </w:pPr>
      <w:r>
        <w:rPr>
          <w:rFonts w:ascii="Times New Roman"/>
          <w:b w:val="false"/>
          <w:i w:val="false"/>
          <w:color w:val="000000"/>
          <w:sz w:val="28"/>
        </w:rPr>
        <w:t xml:space="preserve">
                                                 Коэффициент мгновенной </w:t>
      </w:r>
    </w:p>
    <w:p>
      <w:pPr>
        <w:spacing w:after="0"/>
        <w:ind w:left="0"/>
        <w:jc w:val="both"/>
      </w:pPr>
      <w:r>
        <w:rPr>
          <w:rFonts w:ascii="Times New Roman"/>
          <w:b w:val="false"/>
          <w:i w:val="false"/>
          <w:color w:val="000000"/>
          <w:sz w:val="28"/>
        </w:rPr>
        <w:t xml:space="preserve">
                                                 ликвидности &gt;0,5 </w:t>
      </w:r>
    </w:p>
    <w:p>
      <w:pPr>
        <w:spacing w:after="0"/>
        <w:ind w:left="0"/>
        <w:jc w:val="both"/>
      </w:pPr>
      <w:r>
        <w:rPr>
          <w:rFonts w:ascii="Times New Roman"/>
          <w:b w:val="false"/>
          <w:i w:val="false"/>
          <w:color w:val="000000"/>
          <w:sz w:val="28"/>
        </w:rPr>
        <w:t xml:space="preserve">
                                                 Средний уровень заимствований: </w:t>
      </w:r>
    </w:p>
    <w:p>
      <w:pPr>
        <w:spacing w:after="0"/>
        <w:ind w:left="0"/>
        <w:jc w:val="both"/>
      </w:pPr>
      <w:r>
        <w:rPr>
          <w:rFonts w:ascii="Times New Roman"/>
          <w:b w:val="false"/>
          <w:i w:val="false"/>
          <w:color w:val="000000"/>
          <w:sz w:val="28"/>
        </w:rPr>
        <w:t xml:space="preserve">
                                                 Соотношение собственных и </w:t>
      </w:r>
    </w:p>
    <w:p>
      <w:pPr>
        <w:spacing w:after="0"/>
        <w:ind w:left="0"/>
        <w:jc w:val="both"/>
      </w:pPr>
      <w:r>
        <w:rPr>
          <w:rFonts w:ascii="Times New Roman"/>
          <w:b w:val="false"/>
          <w:i w:val="false"/>
          <w:color w:val="000000"/>
          <w:sz w:val="28"/>
        </w:rPr>
        <w:t xml:space="preserve">
                                                 заемных средств &gt;2 </w:t>
      </w:r>
    </w:p>
    <w:p>
      <w:pPr>
        <w:spacing w:after="0"/>
        <w:ind w:left="0"/>
        <w:jc w:val="both"/>
      </w:pPr>
      <w:r>
        <w:rPr>
          <w:rFonts w:ascii="Times New Roman"/>
          <w:b w:val="false"/>
          <w:i w:val="false"/>
          <w:color w:val="000000"/>
          <w:sz w:val="28"/>
        </w:rPr>
        <w:t xml:space="preserve">
                                                 Займы/задействованный капитал </w:t>
      </w:r>
    </w:p>
    <w:p>
      <w:pPr>
        <w:spacing w:after="0"/>
        <w:ind w:left="0"/>
        <w:jc w:val="both"/>
      </w:pPr>
      <w:r>
        <w:rPr>
          <w:rFonts w:ascii="Times New Roman"/>
          <w:b w:val="false"/>
          <w:i w:val="false"/>
          <w:color w:val="000000"/>
          <w:sz w:val="28"/>
        </w:rPr>
        <w:t xml:space="preserve">
                                                 &lt;0,5 </w:t>
      </w:r>
    </w:p>
    <w:p>
      <w:pPr>
        <w:spacing w:after="0"/>
        <w:ind w:left="0"/>
        <w:jc w:val="both"/>
      </w:pPr>
      <w:r>
        <w:rPr>
          <w:rFonts w:ascii="Times New Roman"/>
          <w:b w:val="false"/>
          <w:i w:val="false"/>
          <w:color w:val="000000"/>
          <w:sz w:val="28"/>
        </w:rPr>
        <w:t xml:space="preserve">
                                Высокий          Низкий уровень ликвидности: </w:t>
      </w:r>
    </w:p>
    <w:p>
      <w:pPr>
        <w:spacing w:after="0"/>
        <w:ind w:left="0"/>
        <w:jc w:val="both"/>
      </w:pPr>
      <w:r>
        <w:rPr>
          <w:rFonts w:ascii="Times New Roman"/>
          <w:b w:val="false"/>
          <w:i w:val="false"/>
          <w:color w:val="000000"/>
          <w:sz w:val="28"/>
        </w:rPr>
        <w:t xml:space="preserve">
                                                 Коэффициент ликвидности &lt;1 </w:t>
      </w:r>
    </w:p>
    <w:p>
      <w:pPr>
        <w:spacing w:after="0"/>
        <w:ind w:left="0"/>
        <w:jc w:val="both"/>
      </w:pPr>
      <w:r>
        <w:rPr>
          <w:rFonts w:ascii="Times New Roman"/>
          <w:b w:val="false"/>
          <w:i w:val="false"/>
          <w:color w:val="000000"/>
          <w:sz w:val="28"/>
        </w:rPr>
        <w:t xml:space="preserve">
                                                 Коэффициент мгновенной </w:t>
      </w:r>
    </w:p>
    <w:p>
      <w:pPr>
        <w:spacing w:after="0"/>
        <w:ind w:left="0"/>
        <w:jc w:val="both"/>
      </w:pPr>
      <w:r>
        <w:rPr>
          <w:rFonts w:ascii="Times New Roman"/>
          <w:b w:val="false"/>
          <w:i w:val="false"/>
          <w:color w:val="000000"/>
          <w:sz w:val="28"/>
        </w:rPr>
        <w:t xml:space="preserve">
                                                 ликвидности &lt;0,5 </w:t>
      </w:r>
    </w:p>
    <w:p>
      <w:pPr>
        <w:spacing w:after="0"/>
        <w:ind w:left="0"/>
        <w:jc w:val="both"/>
      </w:pPr>
      <w:r>
        <w:rPr>
          <w:rFonts w:ascii="Times New Roman"/>
          <w:b w:val="false"/>
          <w:i w:val="false"/>
          <w:color w:val="000000"/>
          <w:sz w:val="28"/>
        </w:rPr>
        <w:t xml:space="preserve">
                                                 Высокий уровень заимствований: </w:t>
      </w:r>
    </w:p>
    <w:p>
      <w:pPr>
        <w:spacing w:after="0"/>
        <w:ind w:left="0"/>
        <w:jc w:val="both"/>
      </w:pPr>
      <w:r>
        <w:rPr>
          <w:rFonts w:ascii="Times New Roman"/>
          <w:b w:val="false"/>
          <w:i w:val="false"/>
          <w:color w:val="000000"/>
          <w:sz w:val="28"/>
        </w:rPr>
        <w:t xml:space="preserve">
                                                 Соотношение собственных и </w:t>
      </w:r>
    </w:p>
    <w:p>
      <w:pPr>
        <w:spacing w:after="0"/>
        <w:ind w:left="0"/>
        <w:jc w:val="both"/>
      </w:pPr>
      <w:r>
        <w:rPr>
          <w:rFonts w:ascii="Times New Roman"/>
          <w:b w:val="false"/>
          <w:i w:val="false"/>
          <w:color w:val="000000"/>
          <w:sz w:val="28"/>
        </w:rPr>
        <w:t xml:space="preserve">
                                                 заемных средств &lt;2 </w:t>
      </w:r>
    </w:p>
    <w:p>
      <w:pPr>
        <w:spacing w:after="0"/>
        <w:ind w:left="0"/>
        <w:jc w:val="both"/>
      </w:pPr>
      <w:r>
        <w:rPr>
          <w:rFonts w:ascii="Times New Roman"/>
          <w:b w:val="false"/>
          <w:i w:val="false"/>
          <w:color w:val="000000"/>
          <w:sz w:val="28"/>
        </w:rPr>
        <w:t xml:space="preserve">
                                                 Займы/задействованный капитал </w:t>
      </w:r>
    </w:p>
    <w:p>
      <w:pPr>
        <w:spacing w:after="0"/>
        <w:ind w:left="0"/>
        <w:jc w:val="both"/>
      </w:pPr>
      <w:r>
        <w:rPr>
          <w:rFonts w:ascii="Times New Roman"/>
          <w:b w:val="false"/>
          <w:i w:val="false"/>
          <w:color w:val="000000"/>
          <w:sz w:val="28"/>
        </w:rPr>
        <w:t xml:space="preserve">
                                                 &gt;0,5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Диапазоны премии за специфические риски,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характерные для нефтепроводной организации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Уровень риска      |  Расчетная оценка    | Специфические риски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Ниже среднего                 &gt; = 1 и &lt; 1,5           3 - 4 % </w:t>
      </w:r>
    </w:p>
    <w:p>
      <w:pPr>
        <w:spacing w:after="0"/>
        <w:ind w:left="0"/>
        <w:jc w:val="both"/>
      </w:pPr>
      <w:r>
        <w:rPr>
          <w:rFonts w:ascii="Times New Roman"/>
          <w:b w:val="false"/>
          <w:i w:val="false"/>
          <w:color w:val="000000"/>
          <w:sz w:val="28"/>
        </w:rPr>
        <w:t xml:space="preserve">
       Средний                       &gt; = 1,5 и &lt; 2           5 - 6 % </w:t>
      </w:r>
    </w:p>
    <w:p>
      <w:pPr>
        <w:spacing w:after="0"/>
        <w:ind w:left="0"/>
        <w:jc w:val="both"/>
      </w:pPr>
      <w:r>
        <w:rPr>
          <w:rFonts w:ascii="Times New Roman"/>
          <w:b w:val="false"/>
          <w:i w:val="false"/>
          <w:color w:val="000000"/>
          <w:sz w:val="28"/>
        </w:rPr>
        <w:t xml:space="preserve">
       Выше среднего                 &gt; = 2 и &lt; 2,5           7 - 8 % </w:t>
      </w:r>
    </w:p>
    <w:p>
      <w:pPr>
        <w:spacing w:after="0"/>
        <w:ind w:left="0"/>
        <w:jc w:val="both"/>
      </w:pPr>
      <w:r>
        <w:rPr>
          <w:rFonts w:ascii="Times New Roman"/>
          <w:b w:val="false"/>
          <w:i w:val="false"/>
          <w:color w:val="000000"/>
          <w:sz w:val="28"/>
        </w:rPr>
        <w:t xml:space="preserve">
       Высокий                       &gt; = 2,5                 9 - 10 %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При размере собственного капитала субъектов естественной монополии, оказывающих услуги по транспортировке нефти по магистральным трубопроводам более 1 миллиарда долларов США, следует принимать меньшее значение специфического риска, при размере собственного капитала менее 1 миллиарда долларов США - большее значение специфического риска из вышеуказанного диапазона. </w:t>
      </w:r>
    </w:p>
    <w:bookmarkStart w:name="z8"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расчету ставки</w:t>
            </w:r>
            <w:r>
              <w:br/>
            </w:r>
            <w:r>
              <w:rPr>
                <w:rFonts w:ascii="Times New Roman"/>
                <w:b w:val="false"/>
                <w:i w:val="false"/>
                <w:color w:val="000000"/>
                <w:sz w:val="20"/>
              </w:rPr>
              <w:t>прибыли на регулируемую базу задействованных</w:t>
            </w:r>
            <w:r>
              <w:br/>
            </w:r>
            <w:r>
              <w:rPr>
                <w:rFonts w:ascii="Times New Roman"/>
                <w:b w:val="false"/>
                <w:i w:val="false"/>
                <w:color w:val="000000"/>
                <w:sz w:val="20"/>
              </w:rPr>
              <w:t>активов субъектов естественной монополии,</w:t>
            </w:r>
            <w:r>
              <w:br/>
            </w:r>
            <w:r>
              <w:rPr>
                <w:rFonts w:ascii="Times New Roman"/>
                <w:b w:val="false"/>
                <w:i w:val="false"/>
                <w:color w:val="000000"/>
                <w:sz w:val="20"/>
              </w:rPr>
              <w:t>оказывающих услуги по транспортировке нефти</w:t>
            </w:r>
            <w:r>
              <w:br/>
            </w:r>
            <w:r>
              <w:rPr>
                <w:rFonts w:ascii="Times New Roman"/>
                <w:b w:val="false"/>
                <w:i w:val="false"/>
                <w:color w:val="000000"/>
                <w:sz w:val="20"/>
              </w:rPr>
              <w:t>по магистральным трубопроводам, утвержденной приказом</w:t>
            </w:r>
            <w:r>
              <w:br/>
            </w:r>
            <w:r>
              <w:rPr>
                <w:rFonts w:ascii="Times New Roman"/>
                <w:b w:val="false"/>
                <w:i w:val="false"/>
                <w:color w:val="000000"/>
                <w:sz w:val="20"/>
              </w:rPr>
              <w:t>и.о. Председателя 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и защите конкуренции</w:t>
            </w:r>
            <w:r>
              <w:br/>
            </w:r>
            <w:r>
              <w:rPr>
                <w:rFonts w:ascii="Times New Roman"/>
                <w:b w:val="false"/>
                <w:i w:val="false"/>
                <w:color w:val="000000"/>
                <w:sz w:val="20"/>
              </w:rPr>
              <w:t>от 5 июля 2004 г. N 304-ОД</w:t>
            </w:r>
          </w:p>
        </w:tc>
      </w:tr>
    </w:tbl>
    <w:p>
      <w:pPr>
        <w:spacing w:after="0"/>
        <w:ind w:left="0"/>
        <w:jc w:val="both"/>
      </w:pPr>
      <w:r>
        <w:rPr>
          <w:rFonts w:ascii="Times New Roman"/>
          <w:b w:val="false"/>
          <w:i w:val="false"/>
          <w:color w:val="000000"/>
          <w:sz w:val="28"/>
        </w:rPr>
        <w:t xml:space="preserve">
      Форма расчета эффективной ставки налогообложения </w:t>
      </w:r>
    </w:p>
    <w:p>
      <w:pPr>
        <w:spacing w:after="0"/>
        <w:ind w:left="0"/>
        <w:jc w:val="both"/>
      </w:pPr>
      <w:r>
        <w:rPr>
          <w:rFonts w:ascii="Times New Roman"/>
          <w:b w:val="false"/>
          <w:i w:val="false"/>
          <w:color w:val="000000"/>
          <w:sz w:val="28"/>
        </w:rPr>
        <w:t xml:space="preserve">
      для нефтепроводной организации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Единица          |  Отчетный </w:t>
      </w:r>
    </w:p>
    <w:p>
      <w:pPr>
        <w:spacing w:after="0"/>
        <w:ind w:left="0"/>
        <w:jc w:val="both"/>
      </w:pPr>
      <w:r>
        <w:rPr>
          <w:rFonts w:ascii="Times New Roman"/>
          <w:b w:val="false"/>
          <w:i w:val="false"/>
          <w:color w:val="000000"/>
          <w:sz w:val="28"/>
        </w:rPr>
        <w:t xml:space="preserve">
      п.п|                           | измерения        |  период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Доход до корпоративного </w:t>
      </w:r>
    </w:p>
    <w:p>
      <w:pPr>
        <w:spacing w:after="0"/>
        <w:ind w:left="0"/>
        <w:jc w:val="both"/>
      </w:pPr>
      <w:r>
        <w:rPr>
          <w:rFonts w:ascii="Times New Roman"/>
          <w:b w:val="false"/>
          <w:i w:val="false"/>
          <w:color w:val="000000"/>
          <w:sz w:val="28"/>
        </w:rPr>
        <w:t xml:space="preserve">
          подоходного налога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Налог на прибыль (ставка </w:t>
      </w:r>
    </w:p>
    <w:p>
      <w:pPr>
        <w:spacing w:after="0"/>
        <w:ind w:left="0"/>
        <w:jc w:val="both"/>
      </w:pPr>
      <w:r>
        <w:rPr>
          <w:rFonts w:ascii="Times New Roman"/>
          <w:b w:val="false"/>
          <w:i w:val="false"/>
          <w:color w:val="000000"/>
          <w:sz w:val="28"/>
        </w:rPr>
        <w:t xml:space="preserve">
          корпоративного подоходного </w:t>
      </w:r>
    </w:p>
    <w:p>
      <w:pPr>
        <w:spacing w:after="0"/>
        <w:ind w:left="0"/>
        <w:jc w:val="both"/>
      </w:pPr>
      <w:r>
        <w:rPr>
          <w:rFonts w:ascii="Times New Roman"/>
          <w:b w:val="false"/>
          <w:i w:val="false"/>
          <w:color w:val="000000"/>
          <w:sz w:val="28"/>
        </w:rPr>
        <w:t xml:space="preserve">
          налога)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Ожидаемый налоговый расход </w:t>
      </w:r>
    </w:p>
    <w:p>
      <w:pPr>
        <w:spacing w:after="0"/>
        <w:ind w:left="0"/>
        <w:jc w:val="both"/>
      </w:pPr>
      <w:r>
        <w:rPr>
          <w:rFonts w:ascii="Times New Roman"/>
          <w:b w:val="false"/>
          <w:i w:val="false"/>
          <w:color w:val="000000"/>
          <w:sz w:val="28"/>
        </w:rPr>
        <w:t xml:space="preserve">
          (стр.1*стр.2)                   тыс. тенге </w:t>
      </w:r>
    </w:p>
    <w:p>
      <w:pPr>
        <w:spacing w:after="0"/>
        <w:ind w:left="0"/>
        <w:jc w:val="both"/>
      </w:pPr>
      <w:r>
        <w:rPr>
          <w:rFonts w:ascii="Times New Roman"/>
          <w:b w:val="false"/>
          <w:i w:val="false"/>
          <w:color w:val="000000"/>
          <w:sz w:val="28"/>
        </w:rPr>
        <w:t xml:space="preserve">
          Добавить (вычесть) </w:t>
      </w:r>
    </w:p>
    <w:p>
      <w:pPr>
        <w:spacing w:after="0"/>
        <w:ind w:left="0"/>
        <w:jc w:val="both"/>
      </w:pPr>
      <w:r>
        <w:rPr>
          <w:rFonts w:ascii="Times New Roman"/>
          <w:b w:val="false"/>
          <w:i w:val="false"/>
          <w:color w:val="000000"/>
          <w:sz w:val="28"/>
        </w:rPr>
        <w:t xml:space="preserve">
          налоговый эффект: </w:t>
      </w:r>
    </w:p>
    <w:p>
      <w:pPr>
        <w:spacing w:after="0"/>
        <w:ind w:left="0"/>
        <w:jc w:val="both"/>
      </w:pPr>
      <w:r>
        <w:rPr>
          <w:rFonts w:ascii="Times New Roman"/>
          <w:b w:val="false"/>
          <w:i w:val="false"/>
          <w:color w:val="000000"/>
          <w:sz w:val="28"/>
        </w:rPr>
        <w:t xml:space="preserve">
       4. Расходы, не относимые на </w:t>
      </w:r>
    </w:p>
    <w:p>
      <w:pPr>
        <w:spacing w:after="0"/>
        <w:ind w:left="0"/>
        <w:jc w:val="both"/>
      </w:pPr>
      <w:r>
        <w:rPr>
          <w:rFonts w:ascii="Times New Roman"/>
          <w:b w:val="false"/>
          <w:i w:val="false"/>
          <w:color w:val="000000"/>
          <w:sz w:val="28"/>
        </w:rPr>
        <w:t xml:space="preserve">
          уменьшение базы для </w:t>
      </w:r>
    </w:p>
    <w:p>
      <w:pPr>
        <w:spacing w:after="0"/>
        <w:ind w:left="0"/>
        <w:jc w:val="both"/>
      </w:pPr>
      <w:r>
        <w:rPr>
          <w:rFonts w:ascii="Times New Roman"/>
          <w:b w:val="false"/>
          <w:i w:val="false"/>
          <w:color w:val="000000"/>
          <w:sz w:val="28"/>
        </w:rPr>
        <w:t xml:space="preserve">
          налогообложения                 тыс. тенге </w:t>
      </w:r>
    </w:p>
    <w:p>
      <w:pPr>
        <w:spacing w:after="0"/>
        <w:ind w:left="0"/>
        <w:jc w:val="both"/>
      </w:pPr>
      <w:r>
        <w:rPr>
          <w:rFonts w:ascii="Times New Roman"/>
          <w:b w:val="false"/>
          <w:i w:val="false"/>
          <w:color w:val="000000"/>
          <w:sz w:val="28"/>
        </w:rPr>
        <w:t xml:space="preserve">
       5. Необлагаемый доход (убыток) </w:t>
      </w:r>
    </w:p>
    <w:p>
      <w:pPr>
        <w:spacing w:after="0"/>
        <w:ind w:left="0"/>
        <w:jc w:val="both"/>
      </w:pPr>
      <w:r>
        <w:rPr>
          <w:rFonts w:ascii="Times New Roman"/>
          <w:b w:val="false"/>
          <w:i w:val="false"/>
          <w:color w:val="000000"/>
          <w:sz w:val="28"/>
        </w:rPr>
        <w:t xml:space="preserve">
          от курсовой разницы, нетто      тыс. тенге </w:t>
      </w:r>
    </w:p>
    <w:p>
      <w:pPr>
        <w:spacing w:after="0"/>
        <w:ind w:left="0"/>
        <w:jc w:val="both"/>
      </w:pPr>
      <w:r>
        <w:rPr>
          <w:rFonts w:ascii="Times New Roman"/>
          <w:b w:val="false"/>
          <w:i w:val="false"/>
          <w:color w:val="000000"/>
          <w:sz w:val="28"/>
        </w:rPr>
        <w:t xml:space="preserve">
       6. Корпоративный подоходный </w:t>
      </w:r>
    </w:p>
    <w:p>
      <w:pPr>
        <w:spacing w:after="0"/>
        <w:ind w:left="0"/>
        <w:jc w:val="both"/>
      </w:pPr>
      <w:r>
        <w:rPr>
          <w:rFonts w:ascii="Times New Roman"/>
          <w:b w:val="false"/>
          <w:i w:val="false"/>
          <w:color w:val="000000"/>
          <w:sz w:val="28"/>
        </w:rPr>
        <w:t xml:space="preserve">
          налог (стр.3+стр.4+стр.5)       тыс. тенге </w:t>
      </w:r>
    </w:p>
    <w:p>
      <w:pPr>
        <w:spacing w:after="0"/>
        <w:ind w:left="0"/>
        <w:jc w:val="both"/>
      </w:pPr>
      <w:r>
        <w:rPr>
          <w:rFonts w:ascii="Times New Roman"/>
          <w:b w:val="false"/>
          <w:i w:val="false"/>
          <w:color w:val="000000"/>
          <w:sz w:val="28"/>
        </w:rPr>
        <w:t xml:space="preserve">
       7. Эффективная ставка </w:t>
      </w:r>
    </w:p>
    <w:p>
      <w:pPr>
        <w:spacing w:after="0"/>
        <w:ind w:left="0"/>
        <w:jc w:val="both"/>
      </w:pPr>
      <w:r>
        <w:rPr>
          <w:rFonts w:ascii="Times New Roman"/>
          <w:b w:val="false"/>
          <w:i w:val="false"/>
          <w:color w:val="000000"/>
          <w:sz w:val="28"/>
        </w:rPr>
        <w:t xml:space="preserve">
          налогообложения (стр.6/стр.1)       %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Примечание: эффективная налоговая ставка рассчитывается на базе финансовой отчетности нефтепроводной организации за отчетный период как отношение суммы корпоративного подоходного налога, подлежащего уплате к прибыли до подоходного налога по данным бухгалтерского учета.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