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f30e" w14:textId="346f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расчету ставки прибыли на регулируемую базу задействованных активов субъектов естественной монополии, оказывающих услуги магистральной железнодорожной сети и подъездных путей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6 декабря 2004 года N 472-ОД. Зарегистрирован в Министерстве юстиции Республики Казахстан 22 декабря 2004 года N 3300.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 и регулируемых рынках",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прилагаемую Инструкцию по расчету ставки прибыли на регулируемую базу задействованных активов субъектов естественной монополии, оказывающих услуги магистральной железнодорожной сети и подъездных путей.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и контролю в сфере железнодорожного транспорта и портов Агентства Республики Казахстан по регулированию естественных монополий (Жусанбаев Е.С.)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и территориальной работы Агентства Республики Казахстан по регулированию естественных монополий (Токарева М.А.) после государственной регистрации настоящего приказа в Министерстве юстиции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порядке его опубликование в официальных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монополий, акционерного общества "Национальная компания "Казакстан темiр жолы", акционерного общества "Центр транспортного сервиса".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Алдабергенова Н.Ш.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вступает в силу со дня государственной регистрации в Министерстве юстиции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от 6 декабря 2004 года № 472-ОД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Инструкции по расчету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прибыли на регулируемую базу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задействованных активов субъектов 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монополии, оказывающих услуги магистральной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железнодорожной сети и подъездных путей"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расчету ставки прибыли на регулируемую базу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активов субъектов естественной монополии,</w:t>
      </w:r>
      <w:r>
        <w:br/>
      </w:r>
      <w:r>
        <w:rPr>
          <w:rFonts w:ascii="Times New Roman"/>
          <w:b/>
          <w:i w:val="false"/>
          <w:color w:val="000000"/>
        </w:rPr>
        <w:t>оказывающих услуги магистральной железнодорожной</w:t>
      </w:r>
      <w:r>
        <w:br/>
      </w:r>
      <w:r>
        <w:rPr>
          <w:rFonts w:ascii="Times New Roman"/>
          <w:b/>
          <w:i w:val="false"/>
          <w:color w:val="000000"/>
        </w:rPr>
        <w:t>сети и подъездных путей</w:t>
      </w:r>
      <w:r>
        <w:br/>
      </w:r>
      <w:r>
        <w:rPr>
          <w:rFonts w:ascii="Times New Roman"/>
          <w:b/>
          <w:i w:val="false"/>
          <w:color w:val="000000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расчету ставки прибыли на регулируемую базу задействованных активов субъектов естественной монополии, оказывающих услуги магистральной железнодорожной сети и подъездных путей (далее - Инструкция) разработана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 и регулируемых рынках" и иными нормативными правовыми актами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Инструкция детализирует порядок расчета допустимого уровня прибыли, входящего в состав тарифов (цен, ставок сбора) субъектов естественной монополии, оказывающих услуги магистральной железнодорожной сети и подъездных путей (далее - Субъект), и учитываемого при расчете и утверждении, в том числе на среднесрочный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Инструкция вводится с целью обоснованного расчета и возможности получения прибыли, обеспечивающей эффективное функционирование субъектов естественной монополии, оказывающих услуги магистральной железнодорожной сети и подъездных путей.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настоящей Инструкции используются следующие основные понятия: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допустимый уровень прибыли - прибыль (чистый доход после налогообложения), входящая в состав тарифа (цены, ставки сбора), которую Субъект имеет право получить для эффективного функционирования и улучшения качества реализуемых услуг (работ, товаров) для потребителей и подлежащая утверждению (согласованию) уполномоченным органом;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задействованности активов - показатель в процентном выражении, характеризующий фактическое использование (задействованность) основных средств Субъекта при производстве и предоставлении услуг (товаров, работ), отнесенных к сфере естественной монополии, от их технологической мощности (провозная, пропускная способность магистральной железнодорожной сети);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 - финансовый год, предшествующий дате подачи заявки на установление или изменение тарифов (цен, ставок сборов) на услуги Субъектов;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регулируемая база задействованных активов - регулируемая стоимость активов, находящихся в собственности Субъекта и (или) используемых при производстве и предоставлении услуг (товаров, работ), на которые Субъект имеет право получать прибыль;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собственный капитал - капитал, принадлежащий участникам или акционерам Субъекта, и состоящий из определенного числа долей или акций, дающий участникам или акционерам Субъекта право на получение определенного дохода, а также включающий накопленную нераспределенную прибыль и резервный капитал, дополнительно оплаченный и дополнительно неоплаченный капитал, определяемый по балансовым данным Субъекта на конец отчетного периода;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капитала - величина, характеризующая ставку вознаграждения на заемные и собственные средства, отражающая инвестиционные риски, связанные с осуществлением деятельности, отнесенной к сфере естественной монополии.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термины, используемые в настоящей Инструкции,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естественных монополиях и регулируемых рынках.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определения допустимого уровня прибыли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Допустимый уровень прибыли по i - му виду регулируемых услуг (операций) определяется как произведение ставки прибыли на величину регулируемой базы активов, задействованных в оказании i - ой услуги (операции), по следующей формуле: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ДУП 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 = РБА 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 х СП,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ДУП  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допустимый уровень прибыли по i - му виду регулируемых услуг (операций), (тенге),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РБА  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регулируемая база активов, задействованных в оказании i - ой услуги (операции), (тенге),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 - ставка прибыли (%). </w:t>
      </w:r>
    </w:p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определения регулируемой базы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активов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Регулируемая база задействованных активов по i - му виду регулируемых услуг (операций) государственных предприятий, акционерных обществ, контрольный пакет акций которых принадлежит государству, а также аффилиированных с ними юридических лиц определяется как произведение фактической стоимости активов, задействованных в оказании i - ой услуги (операции) на коэффициент задействованности активов, по следующей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РБА 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 = СА 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Кза,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фактическая стоимость активов, задействованных в оказании i - го вида регулируемых услуг (операций), (тенге),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Кза - коэффициент задействованности активов.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Распределение активов Субъекта на i - й вид регулируемых услуг (операций) осуществляется: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субъектов естественной монополии, оказывающих услуги магистральной железнодорожной сети в соответствии с Методикой расчета тарифов на услуги магистральной железнодорожной сети;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субъектов естественной монополии, оказывающих услуги подъездных путей - в соответствии с Методикой расчета тарифов на услуги подъездных путей.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Коэффициент задействованности активов определяется как соотношение фактического объема (за четыре предшествующие квартала или за предыдущий календарный год) производимых и (или) оказываемых услуг (товаров, работ) основными средствами Субъекта к их технологической мощности (провозная, пропускная способность магистральной железнодорожной сети).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Коэффициент задействованности активов определяется Субъектом по согласованию с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Фактическая стоимость активов определяется на основе остаточной стоимости основных средств и нематериальных активов Субъекта, используемых при производстве и предоставлении услуг (товаров, работ), отнесенных к сфере естественной монополии, полученной в результате их переоценки независимыми оценщиками, выбранными на конкурсной основе.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Субъектов, не указанных в пункте 6 настоящей Инструкции, а также Субъектов, основные средства которых получены в доверительное управление, имущественный найм, по лизингу или в результате иных сделок: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регулируемая база задействованных активов по i - му виду регулируемых услуг (операций) определяется на основе стоимости приобретения (покупки и других способов приобретения) основных средств Субъектов с учетом фактически произведенных (ежегодных) инвестиций, ремонтных и других видов работ за период владения и (или) пользования, повлекших увеличение первоначальной стоимости основных средств, за минусом фактически начисленных за период владения и (или) пользования (ежегодных) амортизационных отчислений;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государственных предприятий, акционерных обществ, контрольный пакет акций которых принадлежит государству, а также аффилиированных с ними юридических лиц, регулируемая база задействованных активов по i - му виду регулируемых услуг (операций) определяется в соответствии с пунктами 6, 7, 8, 9, 10 настоящей Инструкции.</w:t>
      </w:r>
    </w:p>
    <w:bookmarkStart w:name="z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Порядок расчета ставки прибыли на</w:t>
      </w:r>
      <w:r>
        <w:br/>
      </w:r>
      <w:r>
        <w:rPr>
          <w:rFonts w:ascii="Times New Roman"/>
          <w:b/>
          <w:i w:val="false"/>
          <w:color w:val="000000"/>
        </w:rPr>
        <w:t>регулируемую базу задействованных активов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Ставка прибыли на регулируемую базу задействованных активов используется для расчета допустимого уровня прибыли (чистый доход после налогообложения).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субъектов естественной монополии оказывающих услуги магистральной железнодорожной сети и подъездных путей, ставка прибыли рассчитывается с помощью метода средневзвешенной стоимости капитала (далее - СВСК) и определяется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 (СВСК) = ((1 - g) x 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e </w:t>
      </w:r>
      <w:r>
        <w:rPr>
          <w:rFonts w:ascii="Times New Roman"/>
          <w:b w:val="false"/>
          <w:i w:val="false"/>
          <w:color w:val="000000"/>
          <w:sz w:val="28"/>
        </w:rPr>
        <w:t xml:space="preserve">)+(g x 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d 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g - леверидж, является величиной, характеризующей соотношение заемного и собственного капитала Субъекта в общей структуре финансирования, то есть доля фактически заимствованных средств в структуре всего капитала (сумма собственного и заемного капитала) с учетом произведенной последней переоценки основных средств. Уровень левериджа является величиной не менее нуля. При отрицательном значении собственного капитала Субъекта, уровень левериджа принимается за величину, равную 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е 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ставка вознаграждения на собственный капитал (%);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d 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ставка вознаграждения на заемные средства (%).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вознаграждения на заемные средства определяется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d </w:t>
      </w:r>
      <w:r>
        <w:rPr>
          <w:rFonts w:ascii="Times New Roman"/>
          <w:b w:val="false"/>
          <w:i w:val="false"/>
          <w:color w:val="000000"/>
          <w:sz w:val="28"/>
        </w:rPr>
        <w:t xml:space="preserve"> = 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f </w:t>
      </w:r>
      <w:r>
        <w:rPr>
          <w:rFonts w:ascii="Times New Roman"/>
          <w:b w:val="false"/>
          <w:i w:val="false"/>
          <w:color w:val="000000"/>
          <w:sz w:val="28"/>
        </w:rPr>
        <w:t xml:space="preserve"> + ДП,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f</w:t>
      </w:r>
      <w:r>
        <w:rPr>
          <w:rFonts w:ascii="Times New Roman"/>
          <w:b w:val="false"/>
          <w:i w:val="false"/>
          <w:color w:val="000000"/>
          <w:sz w:val="28"/>
        </w:rPr>
        <w:t xml:space="preserve"> - безрисковая ставка принимается равной уровню официальной ставки рефинансирования Национального банка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 - долговая премия за риск по Субъекту, определяемая на основе премии на долговые обязательства, выпущенные Субъектом и находящиеся в обращении, относительно государственных ценных бумаг того же срока обращения, если выпуск долговых обязательств имел место. В ином случае, она определяется с учетом долговых премий за риск других Субъектов, занимающихся аналогичным видом деятельности и имеющих аналогичный кредитный рейтинг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на собственный капитал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e </w:t>
      </w:r>
      <w:r>
        <w:rPr>
          <w:rFonts w:ascii="Times New Roman"/>
          <w:b w:val="false"/>
          <w:i w:val="false"/>
          <w:color w:val="000000"/>
          <w:sz w:val="28"/>
        </w:rPr>
        <w:t xml:space="preserve">= 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f </w:t>
      </w:r>
      <w:r>
        <w:rPr>
          <w:rFonts w:ascii="Times New Roman"/>
          <w:b w:val="false"/>
          <w:i w:val="false"/>
          <w:color w:val="000000"/>
          <w:sz w:val="28"/>
        </w:rPr>
        <w:t xml:space="preserve"> + 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премия за риск на собственный капитал. Премия за риск на собственный капитал определяется уполномоченным органом в установленном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вознаграждения на акционерный капитал является величиной не менее стоимости вознаграждения на заемные средства.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регулированию естественных монополий от 29.11.2010 </w:t>
      </w:r>
      <w:r>
        <w:rPr>
          <w:rFonts w:ascii="Times New Roman"/>
          <w:b w:val="false"/>
          <w:i w:val="false"/>
          <w:color w:val="000000"/>
          <w:sz w:val="28"/>
        </w:rPr>
        <w:t>№ 331-ОД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10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