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3ae1" w14:textId="e833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организацией, осуществляющей брокерскую и дилерскую деятельность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№ 326. Зарегистрировано в Министерстве юстиции Республики Казахстан от 29 декабря 2004 года № 3313.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   Сноска. П</w:t>
      </w:r>
      <w:r>
        <w:rPr>
          <w:rFonts w:ascii="Times New Roman"/>
          <w:b w:val="false"/>
          <w:i w:val="false"/>
          <w:color w:val="ff0000"/>
          <w:sz w:val="28"/>
        </w:rPr>
        <w:t xml:space="preserve">о тексту слова "брокерско-дилерскую" заменены словами "брокерскую и дилерскую" постановлением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c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и надзоре финансового рынка и финансовых организаций", подпунктом 15) пункта 2 статьи 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представления отчетности организацией, осуществляющей брокерскую и дилерскую деятельность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 1 февраля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 и иные меры, связанные с его принятием;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организаций, осуществляющих брокерскую и дилерскую деятельность на рынке ценных бумаг,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Департаменту по обеспечению деятельности Агентства (Несипбаев Р.Р.) принять меры к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Председатель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№ 326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отчетности организацией,</w:t>
      </w:r>
      <w:r>
        <w:br/>
      </w:r>
      <w:r>
        <w:rPr>
          <w:rFonts w:ascii="Times New Roman"/>
          <w:b/>
          <w:i w:val="false"/>
          <w:color w:val="000000"/>
        </w:rPr>
        <w:t>
осуществляющей брокерскую и дилерскую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
на рынке ценных бумаг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"брокер-дилер", "брокера-дилера", "Брокер-дилер", "брокеру-дилеру" заменены словами "брокер и дилер", "брокера и дилера", "Брокер и дилер", "брокеру и дилеру" постановлением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ff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 государственном регулировании и надзоре финансового рынка и финансовых организаций»,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 и устанавливают перечень, формы, сроки и порядок представления отчетности организацией, осуществляющей брокерскую и дилерскую деятельность на рынке ценных бумаг (далее - брокер и дилер), в Комитет по контролю и надзору финансового рынка и финансовых организаций Национального Банка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Настоящие Правила не распространяются на банки второго уровня, Национальный Банк Республики Казахстан, финансовые агентства, организации, осуществляющие инвестиционное управление пенсионными активами, управляющих инвестиционным портфелем, Национального оператора почты, брокеров и (или) дилеров, осуществляющих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24.12.2007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274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Отчетность брокера и дилера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отчет о ценных бумагах, приобретенных за счет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отчет о структуре операций «обратное РЕПО» и «Операция «РЕПО», совершенных за счет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 отчет о структуре вкладов в банках второго уровня, размещенных за счет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4) отчет о структуре инвестиций в капитал других юридических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Брокер и дилер представляет отчетность на электронном носителе ежеквартально, не позднее 18.00 часов времени города Астаны пятого рабочего дня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с изменениями, внесенными постановлением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Отчетность на бумажном носителе, составляемая ежеквартально, подписывается первым руководителем (на период его отсутствия – лицом, его замещающим), главным бухгалтером, заверяется печатью и хранится у брокера и дилера. По требованию уполномоченного органа брокер и дилер не позднее двух рабочих дней со дня получения запроса представляет отчетность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4-1 в соответствии с постановлением Правления АФН РК от 27.08.2005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4-2.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4-2 в соответствии с постановлением Правления АФН РК от 27.08.2005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4-3. Идентичность данных, представляемых на электронном носителе, данным на бумажном носителе, обеспечивается первым руководителем брокера и дилера (на период его отсутствия –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4-3 в соответствии с постановлением Правления АФН РК от 27.08.2005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4-4. В случае необходимости внесения изменений и (или) дополнений в отчетность, брокер и дилер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обнаружении неполной и (или) недостоверной информации в отчетности, представленной брокером и дилером, уполномоченный орган уведомляет об этом брокера и дилера. Брокер и дилер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4-4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Данные в отчетности указываются в национальной валюте Республики Казахстан -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Единица измерения, используемая при составлении отчетности, устанавливается в тысячах тенге. Сумма менее пятисот тенге в отчетности округляется до нуля, а сумма, равная пятистам тенге и выше, округляется до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7 - 11.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12. При обнаружении неполной или недостоверной информации в отчетности, представленной брокером и дилером, уполномоченный орган уведомляет об этом брокера и дилера. Брокер и дилер не позднее одного рабочего дня со дня получения уведомления уполномоченного органа представляет доработанную с учетом замечаний уполномоченного органа отчетность на электронном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 в редакции постановления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14. Вопросы, не урегулированные настоящими Правилами, разрешаются в порядке, установленном законодательством Республики Казахстан.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Правилам представления отчетности организацией,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осуществляющей брокерскую и дилерскую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рынке ценных бумаг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с изменениями, внесенными постановлениями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ff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30.09.2011 от 30.09.2011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ценных бумаг, приобретенных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счет собственных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брокер и дилер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состоянию на ___ _______ 200_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(тысячах тенге) </w:t>
      </w:r>
    </w:p>
    <w:bookmarkStart w:name="z15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901"/>
        <w:gridCol w:w="826"/>
        <w:gridCol w:w="987"/>
        <w:gridCol w:w="873"/>
        <w:gridCol w:w="1170"/>
        <w:gridCol w:w="553"/>
        <w:gridCol w:w="1928"/>
        <w:gridCol w:w="897"/>
        <w:gridCol w:w="1011"/>
        <w:gridCol w:w="897"/>
        <w:gridCol w:w="1241"/>
      </w:tblGrid>
      <w:tr>
        <w:trPr/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ценнойбумаги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штуках)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8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bookmarkStart w:name="z16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093"/>
        <w:gridCol w:w="1733"/>
        <w:gridCol w:w="1853"/>
        <w:gridCol w:w="1733"/>
        <w:gridCol w:w="1853"/>
        <w:gridCol w:w="1733"/>
      </w:tblGrid>
      <w:tr>
        <w:trPr>
          <w:trHeight w:val="52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стоимости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текущая стоимость 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</w:tr>
      <w:tr>
        <w:trPr>
          <w:trHeight w:val="2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bookmarkStart w:name="z17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393"/>
        <w:gridCol w:w="2093"/>
        <w:gridCol w:w="2353"/>
      </w:tblGrid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Примечание*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если имеются ограничения права собственности на ценные бумаги,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то следует проставлять слово "да"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Правилам представления отчетности организацией,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осуществляющей брокерскую и дилерскую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 рынке ценных бумаг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с изменениями, внесенными постановлениями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Отчет о структуре операций "обратное РЕПО" и "Операция РЕПО",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совершенных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брокер и дилер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состоянию на ___ 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(в тысячах тенге) </w:t>
      </w:r>
    </w:p>
    <w:bookmarkStart w:name="z18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41"/>
        <w:gridCol w:w="1358"/>
        <w:gridCol w:w="1341"/>
        <w:gridCol w:w="1349"/>
        <w:gridCol w:w="556"/>
        <w:gridCol w:w="1799"/>
        <w:gridCol w:w="1394"/>
        <w:gridCol w:w="1365"/>
        <w:gridCol w:w="1384"/>
      </w:tblGrid>
      <w:tr>
        <w:trPr/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эмитента и вид ценной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способ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способ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bookmarkStart w:name="z19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67"/>
        <w:gridCol w:w="940"/>
        <w:gridCol w:w="843"/>
        <w:gridCol w:w="843"/>
        <w:gridCol w:w="940"/>
        <w:gridCol w:w="835"/>
        <w:gridCol w:w="1004"/>
        <w:gridCol w:w="1004"/>
        <w:gridCol w:w="977"/>
        <w:gridCol w:w="868"/>
        <w:gridCol w:w="940"/>
        <w:gridCol w:w="1049"/>
        <w:gridCol w:w="940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днях 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  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</w:p>
        </w:tc>
      </w:tr>
      <w:tr>
        <w:trPr/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Правилам представления отчетности организацией,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осуществляющей брокерскую и дилерскую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 рынке ценных бумаг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с изменениями, внесенными постановлениями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Отчет о структуре вкладов в банках второго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размещенных за счет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брокер и дилер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состоянию на ___ 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bookmarkStart w:name="z20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763"/>
        <w:gridCol w:w="610"/>
        <w:gridCol w:w="888"/>
        <w:gridCol w:w="661"/>
        <w:gridCol w:w="848"/>
        <w:gridCol w:w="1207"/>
        <w:gridCol w:w="406"/>
        <w:gridCol w:w="1795"/>
        <w:gridCol w:w="644"/>
        <w:gridCol w:w="922"/>
        <w:gridCol w:w="684"/>
        <w:gridCol w:w="882"/>
        <w:gridCol w:w="1230"/>
      </w:tblGrid>
      <w:tr>
        <w:trPr/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банков/банка 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  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днях 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годовых)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   </w:t>
      </w:r>
    </w:p>
    <w:bookmarkStart w:name="z21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851"/>
        <w:gridCol w:w="1672"/>
        <w:gridCol w:w="1851"/>
        <w:gridCol w:w="1852"/>
        <w:gridCol w:w="2092"/>
        <w:gridCol w:w="2092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основного долга по вкладу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  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потери 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Примечание* </w:t>
            </w:r>
          </w:p>
        </w:tc>
      </w:tr>
      <w:tr>
        <w:trPr>
          <w:trHeight w:val="58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если имеются ограничения права собственности на вклад, то следует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проставлять слово "да"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 Правилам представления отчетности организацией,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осуществляющей брокерскую и дилерскую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 рынке ценных бумаг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4 с изменениями, внесенными постановлениями Правления Агентства РК по регулированию и надзору фин.рынка и фин.организаций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Отчет о структуре инвестиций в капитал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брокер и дилер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состоянию на ___ _______ 200_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63"/>
        <w:gridCol w:w="621"/>
        <w:gridCol w:w="729"/>
        <w:gridCol w:w="838"/>
        <w:gridCol w:w="1118"/>
        <w:gridCol w:w="947"/>
        <w:gridCol w:w="621"/>
        <w:gridCol w:w="428"/>
        <w:gridCol w:w="1189"/>
        <w:gridCol w:w="646"/>
        <w:gridCol w:w="754"/>
        <w:gridCol w:w="863"/>
        <w:gridCol w:w="972"/>
        <w:gridCol w:w="972"/>
        <w:gridCol w:w="646"/>
      </w:tblGrid>
      <w:tr>
        <w:trPr/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штуках)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участия в уставном капитале эмитента (%)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ретения 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и паи 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