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891bb" w14:textId="20891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санитарно-эпидемиологических правил и норм "Санитарно-эпидемиологические требования к обеспечению радиационной безопасности объектов нефтегазового комплекса"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9 марта 2005 года N 101. Зарегистрирован в Министерстве юстиции Республики Казахстан от 8 апреля 2005 года N 3553. Утратил силу приказом Министра здравоохранения Республики Казахстан от 29 июля 2010 года N 565</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здравоохранения РК от 29.07.2010 </w:t>
      </w:r>
      <w:r>
        <w:rPr>
          <w:rFonts w:ascii="Times New Roman"/>
          <w:b w:val="false"/>
          <w:i w:val="false"/>
          <w:color w:val="ff0000"/>
          <w:sz w:val="28"/>
        </w:rPr>
        <w:t>N 565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В соответствии с подпунктом 10) </w:t>
      </w:r>
      <w:r>
        <w:rPr>
          <w:rFonts w:ascii="Times New Roman"/>
          <w:b w:val="false"/>
          <w:i w:val="false"/>
          <w:color w:val="000000"/>
          <w:sz w:val="28"/>
        </w:rPr>
        <w:t xml:space="preserve">статьи 7 </w:t>
      </w:r>
      <w:r>
        <w:rPr>
          <w:rFonts w:ascii="Times New Roman"/>
          <w:b w:val="false"/>
          <w:i w:val="false"/>
          <w:color w:val="000000"/>
          <w:sz w:val="28"/>
        </w:rPr>
        <w:t xml:space="preserve">Закона Республики Казахстан "О санитарно-эпидемиологическом благополучии населения", </w:t>
      </w:r>
      <w:r>
        <w:rPr>
          <w:rFonts w:ascii="Times New Roman"/>
          <w:b/>
          <w:i w:val="false"/>
          <w:color w:val="000000"/>
          <w:sz w:val="28"/>
        </w:rPr>
        <w:t xml:space="preserve">ПРИКАЗЫВАЮ: </w:t>
      </w:r>
      <w:r>
        <w:br/>
      </w:r>
      <w:r>
        <w:rPr>
          <w:rFonts w:ascii="Times New Roman"/>
          <w:b w:val="false"/>
          <w:i w:val="false"/>
          <w:color w:val="000000"/>
          <w:sz w:val="28"/>
        </w:rPr>
        <w:t xml:space="preserve">
     1. Утвердить прилагаемые санитарно-эпидемиологические правила и нормы "Санитарно-эпидемиологические требования к обеспечению радиационной безопасности объектов нефтегазового комплекса". </w:t>
      </w:r>
      <w:r>
        <w:br/>
      </w:r>
      <w:r>
        <w:rPr>
          <w:rFonts w:ascii="Times New Roman"/>
          <w:b w:val="false"/>
          <w:i w:val="false"/>
          <w:color w:val="000000"/>
          <w:sz w:val="28"/>
        </w:rPr>
        <w:t xml:space="preserve">
     2. Комитету государственного санитарно-эпидемиологического надзора Министерства здравоохранения Республики Казахстан (Байсеркин Б.С.) направить настоящий приказ на государственную регистрацию в Министерство юстиции Республики Казахстан. </w:t>
      </w:r>
      <w:r>
        <w:br/>
      </w:r>
      <w:r>
        <w:rPr>
          <w:rFonts w:ascii="Times New Roman"/>
          <w:b w:val="false"/>
          <w:i w:val="false"/>
          <w:color w:val="000000"/>
          <w:sz w:val="28"/>
        </w:rPr>
        <w:t xml:space="preserve">
     3. Департаменту организационно-правовой работы Министерства здравоохранения Республики Казахстан (Акрачкова Д.В.) направить настоящий приказ на официальное опубликование после его государственной регистрации в Министерстве юстиции Республики Казахстан. </w:t>
      </w:r>
      <w:r>
        <w:br/>
      </w:r>
      <w:r>
        <w:rPr>
          <w:rFonts w:ascii="Times New Roman"/>
          <w:b w:val="false"/>
          <w:i w:val="false"/>
          <w:color w:val="000000"/>
          <w:sz w:val="28"/>
        </w:rPr>
        <w:t xml:space="preserve">
     4. Контроль за исполнением настоящего приказа возложить на вице-министра здравоохранения, Главного государственного санитарного врача Республики Казахстан Белоног А.А. </w:t>
      </w:r>
      <w:r>
        <w:br/>
      </w:r>
      <w:r>
        <w:rPr>
          <w:rFonts w:ascii="Times New Roman"/>
          <w:b w:val="false"/>
          <w:i w:val="false"/>
          <w:color w:val="000000"/>
          <w:sz w:val="28"/>
        </w:rPr>
        <w:t xml:space="preserve">
     5. Настоящий приказ вводится в действие со дня официального опубликования.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И.о. Министра </w:t>
      </w:r>
    </w:p>
    <w:bookmarkStart w:name="z2" w:id="1"/>
    <w:p>
      <w:pPr>
        <w:spacing w:after="0"/>
        <w:ind w:left="0"/>
        <w:jc w:val="both"/>
      </w:pP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И.о.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марта 2005 года N 101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Санитарно-эпидемиологические правила </w:t>
      </w:r>
      <w:r>
        <w:br/>
      </w:r>
      <w:r>
        <w:rPr>
          <w:rFonts w:ascii="Times New Roman"/>
          <w:b/>
          <w:i w:val="false"/>
          <w:color w:val="000000"/>
        </w:rPr>
        <w:t xml:space="preserve">
и нормы "Санитарно-эпидемиологические </w:t>
      </w:r>
      <w:r>
        <w:br/>
      </w:r>
      <w:r>
        <w:rPr>
          <w:rFonts w:ascii="Times New Roman"/>
          <w:b/>
          <w:i w:val="false"/>
          <w:color w:val="000000"/>
        </w:rPr>
        <w:t xml:space="preserve">
требования по обеспечению радиационной безопасности </w:t>
      </w:r>
      <w:r>
        <w:br/>
      </w:r>
      <w:r>
        <w:rPr>
          <w:rFonts w:ascii="Times New Roman"/>
          <w:b/>
          <w:i w:val="false"/>
          <w:color w:val="000000"/>
        </w:rPr>
        <w:t xml:space="preserve">
объектов нефтегазового комплекса"  1. Общие положения </w:t>
      </w:r>
    </w:p>
    <w:p>
      <w:pPr>
        <w:spacing w:after="0"/>
        <w:ind w:left="0"/>
        <w:jc w:val="both"/>
      </w:pPr>
      <w:r>
        <w:rPr>
          <w:rFonts w:ascii="Times New Roman"/>
          <w:b w:val="false"/>
          <w:i w:val="false"/>
          <w:color w:val="000000"/>
          <w:sz w:val="28"/>
        </w:rPr>
        <w:t xml:space="preserve">     1. Санитарно-эпидемиологические правила и нормы "Санитарно-эпидемиологические требования по обеспечению радиационной безопасности на объектах нефтегазового комплекса", утвержденные Приказом (далее - Санитарно-эпидемиологические требования), предназначены для физических, юридических лиц, деятельность которых связана с геологическими изысканиями (разведкой), добычей, переработкой и транспортировкой нефти и газа (газового конденсата), а также с ремонтом и техническим обслуживанием оборудования, сбором и утилизацией производственных отходов организаций нефтегазового комплекса (далее - НГК). </w:t>
      </w:r>
      <w:r>
        <w:br/>
      </w:r>
      <w:r>
        <w:rPr>
          <w:rFonts w:ascii="Times New Roman"/>
          <w:b w:val="false"/>
          <w:i w:val="false"/>
          <w:color w:val="000000"/>
          <w:sz w:val="28"/>
        </w:rPr>
        <w:t xml:space="preserve">
     2. В настоящих санитарных правилах использованы следующие термины и определения: </w:t>
      </w:r>
      <w:r>
        <w:br/>
      </w:r>
      <w:r>
        <w:rPr>
          <w:rFonts w:ascii="Times New Roman"/>
          <w:b w:val="false"/>
          <w:i w:val="false"/>
          <w:color w:val="000000"/>
          <w:sz w:val="28"/>
        </w:rPr>
        <w:t xml:space="preserve">
     1) природные радионуклиды - радиоактивные элементы рядов урана-238, тория-232 и калия-40; </w:t>
      </w:r>
      <w:r>
        <w:br/>
      </w:r>
      <w:r>
        <w:rPr>
          <w:rFonts w:ascii="Times New Roman"/>
          <w:b w:val="false"/>
          <w:i w:val="false"/>
          <w:color w:val="000000"/>
          <w:sz w:val="28"/>
        </w:rPr>
        <w:t xml:space="preserve">
     2) производственные отходы предприятий нефтегазового комплекса - солевые отложения и шлам, извлеченные из технологического оборудования при его ремонте и очистке, элементы технологического оборудования и конструкций, не предназначенные для дальнейшего использования по их назначению, почва и грунты на территории предприятий, в которых могут накапливаться природные радионуклиды в процессе производственной деятельности предприятий НГК. </w:t>
      </w:r>
    </w:p>
    <w:bookmarkStart w:name="z3" w:id="2"/>
    <w:p>
      <w:pPr>
        <w:spacing w:after="0"/>
        <w:ind w:left="0"/>
        <w:jc w:val="left"/>
      </w:pPr>
      <w:r>
        <w:rPr>
          <w:rFonts w:ascii="Times New Roman"/>
          <w:b/>
          <w:i w:val="false"/>
          <w:color w:val="000000"/>
        </w:rPr>
        <w:t xml:space="preserve"> 
2. Санитарно-эпидемиологические требования к </w:t>
      </w:r>
      <w:r>
        <w:br/>
      </w:r>
      <w:r>
        <w:rPr>
          <w:rFonts w:ascii="Times New Roman"/>
          <w:b/>
          <w:i w:val="false"/>
          <w:color w:val="000000"/>
        </w:rPr>
        <w:t xml:space="preserve">
критериям обеспечения радиационной безопасности </w:t>
      </w:r>
    </w:p>
    <w:bookmarkEnd w:id="2"/>
    <w:p>
      <w:pPr>
        <w:spacing w:after="0"/>
        <w:ind w:left="0"/>
        <w:jc w:val="both"/>
      </w:pPr>
      <w:r>
        <w:rPr>
          <w:rFonts w:ascii="Times New Roman"/>
          <w:b w:val="false"/>
          <w:i w:val="false"/>
          <w:color w:val="000000"/>
          <w:sz w:val="28"/>
        </w:rPr>
        <w:t xml:space="preserve">     3. При добыче, переработке и транспортировке нефти и газа в окружающую среду поступают природные радионуклиды семейств урана-238 (далее - </w:t>
      </w:r>
      <w:r>
        <w:rPr>
          <w:rFonts w:ascii="Times New Roman"/>
          <w:b w:val="false"/>
          <w:i w:val="false"/>
          <w:color w:val="000000"/>
          <w:vertAlign w:val="superscript"/>
        </w:rPr>
        <w:t xml:space="preserve">238 </w:t>
      </w:r>
      <w:r>
        <w:rPr>
          <w:rFonts w:ascii="Times New Roman"/>
          <w:b w:val="false"/>
          <w:i w:val="false"/>
          <w:color w:val="000000"/>
          <w:sz w:val="28"/>
        </w:rPr>
        <w:t xml:space="preserve">U) и тория-232 (далее - </w:t>
      </w:r>
      <w:r>
        <w:rPr>
          <w:rFonts w:ascii="Times New Roman"/>
          <w:b w:val="false"/>
          <w:i w:val="false"/>
          <w:color w:val="000000"/>
          <w:vertAlign w:val="superscript"/>
        </w:rPr>
        <w:t xml:space="preserve">232 </w:t>
      </w:r>
      <w:r>
        <w:rPr>
          <w:rFonts w:ascii="Times New Roman"/>
          <w:b w:val="false"/>
          <w:i w:val="false"/>
          <w:color w:val="000000"/>
          <w:sz w:val="28"/>
        </w:rPr>
        <w:t xml:space="preserve">Th), а также калия-40 (далее - </w:t>
      </w:r>
      <w:r>
        <w:rPr>
          <w:rFonts w:ascii="Times New Roman"/>
          <w:b w:val="false"/>
          <w:i w:val="false"/>
          <w:color w:val="000000"/>
          <w:vertAlign w:val="superscript"/>
        </w:rPr>
        <w:t xml:space="preserve">40 </w:t>
      </w:r>
      <w:r>
        <w:rPr>
          <w:rFonts w:ascii="Times New Roman"/>
          <w:b w:val="false"/>
          <w:i w:val="false"/>
          <w:color w:val="000000"/>
          <w:sz w:val="28"/>
        </w:rPr>
        <w:t xml:space="preserve">К). Радионуклиды осаждаются на внутренних поверхностях оборудования (насосно-компрессорные трубы, резервуары и другие), на территории организаций и поверхностях рабочих помещений, концентрируясь в ряде случаев до уровней, при которых возможно повышенное облучение работников, населения, а также загрязнение окружающей среды. </w:t>
      </w:r>
      <w:r>
        <w:br/>
      </w:r>
      <w:r>
        <w:rPr>
          <w:rFonts w:ascii="Times New Roman"/>
          <w:b w:val="false"/>
          <w:i w:val="false"/>
          <w:color w:val="000000"/>
          <w:sz w:val="28"/>
        </w:rPr>
        <w:t xml:space="preserve">
     4. На рабочих местах по технологическому процессу добычи и первичной переработки минерального органического сырья основными природными источниками облучения работников организаций НГК в производственных условиях могут быть: </w:t>
      </w:r>
      <w:r>
        <w:br/>
      </w:r>
      <w:r>
        <w:rPr>
          <w:rFonts w:ascii="Times New Roman"/>
          <w:b w:val="false"/>
          <w:i w:val="false"/>
          <w:color w:val="000000"/>
          <w:sz w:val="28"/>
        </w:rPr>
        <w:t xml:space="preserve">
     1) промысловые воды, содержащие природные радионуклиды; </w:t>
      </w:r>
      <w:r>
        <w:br/>
      </w:r>
      <w:r>
        <w:rPr>
          <w:rFonts w:ascii="Times New Roman"/>
          <w:b w:val="false"/>
          <w:i w:val="false"/>
          <w:color w:val="000000"/>
          <w:sz w:val="28"/>
        </w:rPr>
        <w:t xml:space="preserve">
     2) загрязненные природными радионуклидами территории (отдельные участки территорий) нефтегазодобывающих и перерабатывающих организаций; </w:t>
      </w:r>
      <w:r>
        <w:br/>
      </w:r>
      <w:r>
        <w:rPr>
          <w:rFonts w:ascii="Times New Roman"/>
          <w:b w:val="false"/>
          <w:i w:val="false"/>
          <w:color w:val="000000"/>
          <w:sz w:val="28"/>
        </w:rPr>
        <w:t xml:space="preserve">
     3) отложения солей с высоким содержанием природных радионуклидов на технологическом оборудовании, на территории организаций и поверхностях рабочих помещений; </w:t>
      </w:r>
      <w:r>
        <w:br/>
      </w:r>
      <w:r>
        <w:rPr>
          <w:rFonts w:ascii="Times New Roman"/>
          <w:b w:val="false"/>
          <w:i w:val="false"/>
          <w:color w:val="000000"/>
          <w:sz w:val="28"/>
        </w:rPr>
        <w:t xml:space="preserve">
     4) производственные отходы с повышенным содержанием природных радионуклидов; </w:t>
      </w:r>
      <w:r>
        <w:br/>
      </w:r>
      <w:r>
        <w:rPr>
          <w:rFonts w:ascii="Times New Roman"/>
          <w:b w:val="false"/>
          <w:i w:val="false"/>
          <w:color w:val="000000"/>
          <w:sz w:val="28"/>
        </w:rPr>
        <w:t xml:space="preserve">
     5) загрязненные природными радионуклидами транспортные средства и технологическое оборудование в местах их ремонта, очистки и временного хранения; </w:t>
      </w:r>
      <w:r>
        <w:br/>
      </w:r>
      <w:r>
        <w:rPr>
          <w:rFonts w:ascii="Times New Roman"/>
          <w:b w:val="false"/>
          <w:i w:val="false"/>
          <w:color w:val="000000"/>
          <w:sz w:val="28"/>
        </w:rPr>
        <w:t xml:space="preserve">
     6) технологические процессы, связанные с распылением воды с высоким содержанием природных радионуклидов; </w:t>
      </w:r>
      <w:r>
        <w:br/>
      </w:r>
      <w:r>
        <w:rPr>
          <w:rFonts w:ascii="Times New Roman"/>
          <w:b w:val="false"/>
          <w:i w:val="false"/>
          <w:color w:val="000000"/>
          <w:sz w:val="28"/>
        </w:rPr>
        <w:t xml:space="preserve">
     7) технологические участки, в которых имеются значительные эффективные площади испарений (открытые хранилища и поля испарений, места утечек продукта и технологических вод, резервуары и хранилища продукта), и возможно интенсивное испарение отдельных фракций нефти, аэрация воды; </w:t>
      </w:r>
      <w:r>
        <w:br/>
      </w:r>
      <w:r>
        <w:rPr>
          <w:rFonts w:ascii="Times New Roman"/>
          <w:b w:val="false"/>
          <w:i w:val="false"/>
          <w:color w:val="000000"/>
          <w:sz w:val="28"/>
        </w:rPr>
        <w:t xml:space="preserve">
     8) технологические процессы, в результате которых в воздух рабочих помещений могут интенсивно поступать изотопы радона (радон-222 и торон-220), а также образующиеся из них короткоживущие дочерние продукты распада радона и торона (далее - ДПР и ДПТ); </w:t>
      </w:r>
      <w:r>
        <w:br/>
      </w:r>
      <w:r>
        <w:rPr>
          <w:rFonts w:ascii="Times New Roman"/>
          <w:b w:val="false"/>
          <w:i w:val="false"/>
          <w:color w:val="000000"/>
          <w:sz w:val="28"/>
        </w:rPr>
        <w:t xml:space="preserve">
     9) производственная пыль с высоким содержанием природных радионуклидов в воздухе рабочей зоны; </w:t>
      </w:r>
      <w:r>
        <w:br/>
      </w:r>
      <w:r>
        <w:rPr>
          <w:rFonts w:ascii="Times New Roman"/>
          <w:b w:val="false"/>
          <w:i w:val="false"/>
          <w:color w:val="000000"/>
          <w:sz w:val="28"/>
        </w:rPr>
        <w:t xml:space="preserve">
     10) в некоторых случаях источником внешнего облучения могут оказаться и используемые баллоны со сжиженным газом (при высоких концентрациях радона в газе источниками гамма-излучения являются дочерние продукты радона - свинец-214 и висмут-214). </w:t>
      </w:r>
      <w:r>
        <w:br/>
      </w:r>
      <w:r>
        <w:rPr>
          <w:rFonts w:ascii="Times New Roman"/>
          <w:b w:val="false"/>
          <w:i w:val="false"/>
          <w:color w:val="000000"/>
          <w:sz w:val="28"/>
        </w:rPr>
        <w:t xml:space="preserve">
     5. Суммарная эффективная доза производственного облучения работников формируется за счет внешнего облучения гамма-излучением природных радионуклидов и внутреннего облучения при ингаляционном поступлении изотопов радона и их короткоживущих дочерних продуктов и долгоживущих природных радионуклидов с производственной пылью. </w:t>
      </w:r>
      <w:r>
        <w:br/>
      </w:r>
      <w:r>
        <w:rPr>
          <w:rFonts w:ascii="Times New Roman"/>
          <w:b w:val="false"/>
          <w:i w:val="false"/>
          <w:color w:val="000000"/>
          <w:sz w:val="28"/>
        </w:rPr>
        <w:t xml:space="preserve">
     6. Радиационная безопасность населения и работников организаций НГК обеспечивается за счет: </w:t>
      </w:r>
      <w:r>
        <w:br/>
      </w:r>
      <w:r>
        <w:rPr>
          <w:rFonts w:ascii="Times New Roman"/>
          <w:b w:val="false"/>
          <w:i w:val="false"/>
          <w:color w:val="000000"/>
          <w:sz w:val="28"/>
        </w:rPr>
        <w:t xml:space="preserve">
     1) не превышения установленных пределов индивидуальных эффективных доз облучения работников и критических групп населения природными источниками излучения; </w:t>
      </w:r>
      <w:r>
        <w:br/>
      </w:r>
      <w:r>
        <w:rPr>
          <w:rFonts w:ascii="Times New Roman"/>
          <w:b w:val="false"/>
          <w:i w:val="false"/>
          <w:color w:val="000000"/>
          <w:sz w:val="28"/>
        </w:rPr>
        <w:t xml:space="preserve">
     2) обоснования мероприятий по радиационной безопасности на стадии проектирования объектов НГК и учета требований по обращению с производственными отходами с повышенным содержанием природных радионуклидов в процессе деятельности организаций, а также при реабилитации территории объектов после вывода их из эксплуатации (консервации); </w:t>
      </w:r>
      <w:r>
        <w:br/>
      </w:r>
      <w:r>
        <w:rPr>
          <w:rFonts w:ascii="Times New Roman"/>
          <w:b w:val="false"/>
          <w:i w:val="false"/>
          <w:color w:val="000000"/>
          <w:sz w:val="28"/>
        </w:rPr>
        <w:t xml:space="preserve">
     3) разработки и осуществления мероприятий по поддержанию на низком уровне индивидуальных доз облучения и численности работников организаций НГК и уровней облучения критических групп населения природными источниками излучения, а также загрязнения объектов среды обитания людей природными радионуклидами. </w:t>
      </w:r>
      <w:r>
        <w:br/>
      </w:r>
      <w:r>
        <w:rPr>
          <w:rFonts w:ascii="Times New Roman"/>
          <w:b w:val="false"/>
          <w:i w:val="false"/>
          <w:color w:val="000000"/>
          <w:sz w:val="28"/>
        </w:rPr>
        <w:t xml:space="preserve">
     7. Индивидуальная годовая эффективная доза облучения природными источниками излучения работников НГК в производственных условиях не должна превышать 5 милли Зивертов в год (далее - мЗв/год). </w:t>
      </w:r>
      <w:r>
        <w:br/>
      </w:r>
      <w:r>
        <w:rPr>
          <w:rFonts w:ascii="Times New Roman"/>
          <w:b w:val="false"/>
          <w:i w:val="false"/>
          <w:color w:val="000000"/>
          <w:sz w:val="28"/>
        </w:rPr>
        <w:t xml:space="preserve">
     8. Среднегодовые значения радиационных факторов по пункту 6, соответствующие эффективной дозе 5 мЗв/год, при воздействии каждого из них в отдельности при продолжительности работы 2000 часов в год и средней скорости дыхания работников 1,2 метра кубических в час (далее - м </w:t>
      </w:r>
      <w:r>
        <w:rPr>
          <w:rFonts w:ascii="Times New Roman"/>
          <w:b w:val="false"/>
          <w:i w:val="false"/>
          <w:color w:val="000000"/>
          <w:vertAlign w:val="superscript"/>
        </w:rPr>
        <w:t xml:space="preserve">3 </w:t>
      </w:r>
      <w:r>
        <w:rPr>
          <w:rFonts w:ascii="Times New Roman"/>
          <w:b w:val="false"/>
          <w:i w:val="false"/>
          <w:color w:val="000000"/>
          <w:sz w:val="28"/>
        </w:rPr>
        <w:t xml:space="preserve">/ч) составляют: </w:t>
      </w:r>
      <w:r>
        <w:br/>
      </w:r>
      <w:r>
        <w:rPr>
          <w:rFonts w:ascii="Times New Roman"/>
          <w:b w:val="false"/>
          <w:i w:val="false"/>
          <w:color w:val="000000"/>
          <w:sz w:val="28"/>
        </w:rPr>
        <w:t xml:space="preserve">
     1) мощность эффективной дозы гамма-излучения на рабочем месте - 2,5 микро Зиверта в час (далее - мкЗв/ч); </w:t>
      </w:r>
      <w:r>
        <w:br/>
      </w:r>
      <w:r>
        <w:rPr>
          <w:rFonts w:ascii="Times New Roman"/>
          <w:b w:val="false"/>
          <w:i w:val="false"/>
          <w:color w:val="000000"/>
          <w:sz w:val="28"/>
        </w:rPr>
        <w:t xml:space="preserve">
     2) эквивалентная равновесная объемная активность (далее - ЭРОА) радона в воздухе зоны дыхания - 310 Беккерелей на кубический метр (далее - Бк/м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3) эквивалентная равновесная объемная активность торона в воздухе зоны дыхания - 68 Бк/м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4) удельная активность в производственной пыли урана-238 в радиоактивном равновесии с членами своего ряда - 40/f килоБеккерелей на килограмм (далее - кБк/кг), где f - среднегодовая общая запыленность воздуха в зоне дыхания работников, миллиграмм на кубический метр (далее - мг/м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5) удельная активность в производственной пыли тория-232 в радиоактивном равновесии с членами своего ряда - 27/f кБк/кг, где f - среднегодовая общая запыленность воздуха в зоне дыхания работников, мг/м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При одновременном воздействии на рабочих местах нескольких радиационных факторов должно выполняться условие: сумма отношений величины воздействующих факторов к приведенным выше значениям не должна превышать 1; </w:t>
      </w:r>
      <w:r>
        <w:br/>
      </w:r>
      <w:r>
        <w:rPr>
          <w:rFonts w:ascii="Times New Roman"/>
          <w:b w:val="false"/>
          <w:i w:val="false"/>
          <w:color w:val="000000"/>
          <w:sz w:val="28"/>
        </w:rPr>
        <w:t xml:space="preserve">
     6) при облучении работников в условиях, отличающихся от перечисленных в пункте 8, среднегодовые значения радиационных факторов устанавливаются по согласованию с органом государственного санитарно-эпидемиологического надзора соответствующей территории. </w:t>
      </w:r>
      <w:r>
        <w:br/>
      </w:r>
      <w:r>
        <w:rPr>
          <w:rFonts w:ascii="Times New Roman"/>
          <w:b w:val="false"/>
          <w:i w:val="false"/>
          <w:color w:val="000000"/>
          <w:sz w:val="28"/>
        </w:rPr>
        <w:t xml:space="preserve">
     9. Обеспечение радиационной безопасности при обращении с производственными отходами организаций нефтегазовой отрасли с повышенным содержанием природных радионуклидов осуществляется в соответствии с требованиями действующих санитарно-эпидемиологических правил и норм. </w:t>
      </w:r>
      <w:r>
        <w:br/>
      </w:r>
      <w:r>
        <w:rPr>
          <w:rFonts w:ascii="Times New Roman"/>
          <w:b w:val="false"/>
          <w:i w:val="false"/>
          <w:color w:val="000000"/>
          <w:sz w:val="28"/>
        </w:rPr>
        <w:t xml:space="preserve">
     10. Эффективная доза облучения природными источниками излучения работников организаций нефтегазовой отрасли в производственных условиях не должна превышать гигиенических нормативов. </w:t>
      </w:r>
      <w:r>
        <w:br/>
      </w:r>
      <w:r>
        <w:rPr>
          <w:rFonts w:ascii="Times New Roman"/>
          <w:b w:val="false"/>
          <w:i w:val="false"/>
          <w:color w:val="000000"/>
          <w:sz w:val="28"/>
        </w:rPr>
        <w:t xml:space="preserve">
     При дозах облучения более 1 миллиЗиверта в год (далее - мЗв/год) работники относятся к лицам, подвергающимся повышенному производственному облучению природными источниками излучения. </w:t>
      </w:r>
      <w:r>
        <w:br/>
      </w:r>
      <w:r>
        <w:rPr>
          <w:rFonts w:ascii="Times New Roman"/>
          <w:b w:val="false"/>
          <w:i w:val="false"/>
          <w:color w:val="000000"/>
          <w:sz w:val="28"/>
        </w:rPr>
        <w:t xml:space="preserve">
     11. Требования по обеспечению радиационной безопасности на объектах нефтегазовой отрасли должны соблюдаться, если облучение работников от природных радионуклидов может превышать 1 мЗв/год или в результате деятельности объекта образуются (или уже имеются) производственные отходы с эффективной удельной активностью природных радионуклидов более 1,5 кБк/кг. </w:t>
      </w:r>
      <w:r>
        <w:br/>
      </w:r>
      <w:r>
        <w:rPr>
          <w:rFonts w:ascii="Times New Roman"/>
          <w:b w:val="false"/>
          <w:i w:val="false"/>
          <w:color w:val="000000"/>
          <w:sz w:val="28"/>
        </w:rPr>
        <w:t>
     12. Перечень организаций нефтегазовой отрасли или отдельных рабочих мест с повышенными уровнями облучения работников природными источниками, а также категория имеющихся (образующихся) в организации производственных отходов, содержащих природные радионуклиды, устанавливаются по результатам первичного радиационного обследования, и уточняется по данным его детального обследования, в соответствии с санитарными правилами и нормами " </w:t>
      </w:r>
      <w:r>
        <w:rPr>
          <w:rFonts w:ascii="Times New Roman"/>
          <w:b w:val="false"/>
          <w:i w:val="false"/>
          <w:color w:val="000000"/>
          <w:sz w:val="28"/>
        </w:rPr>
        <w:t xml:space="preserve">Санитарно-гигиенические </w:t>
      </w:r>
      <w:r>
        <w:rPr>
          <w:rFonts w:ascii="Times New Roman"/>
          <w:b w:val="false"/>
          <w:i w:val="false"/>
          <w:color w:val="000000"/>
          <w:sz w:val="28"/>
        </w:rPr>
        <w:t xml:space="preserve">требования по обеспечению радиационной безопасности", зарегистрированными в Реестре государственной регистрации нормативных правовых актов Республики Казахстан за N 2198. </w:t>
      </w:r>
      <w:r>
        <w:br/>
      </w:r>
      <w:r>
        <w:rPr>
          <w:rFonts w:ascii="Times New Roman"/>
          <w:b w:val="false"/>
          <w:i w:val="false"/>
          <w:color w:val="000000"/>
          <w:sz w:val="28"/>
        </w:rPr>
        <w:t xml:space="preserve">
     13. Если по результатам первичного обследования не обнаружено повышенное облучение работников, а эффективная удельная активность природных радионуклидов в производственных отходах не превышает 1,5 кБк/кг, то дальнейший радиационный контроль не обязателен. </w:t>
      </w:r>
      <w:r>
        <w:br/>
      </w:r>
      <w:r>
        <w:rPr>
          <w:rFonts w:ascii="Times New Roman"/>
          <w:b w:val="false"/>
          <w:i w:val="false"/>
          <w:color w:val="000000"/>
          <w:sz w:val="28"/>
        </w:rPr>
        <w:t xml:space="preserve">
     Повторное обследование такой организации следует проводить, если произошли существенные изменения, которые могут привести к увеличению облучения работников: освоение новых горизонтов или месторождений, изменение технологии добычи, смена поставщиков (для организаций по переработке и транспортированию сырья) и другое, но не реже 1 раза в 3 года. </w:t>
      </w:r>
      <w:r>
        <w:br/>
      </w:r>
      <w:r>
        <w:rPr>
          <w:rFonts w:ascii="Times New Roman"/>
          <w:b w:val="false"/>
          <w:i w:val="false"/>
          <w:color w:val="000000"/>
          <w:sz w:val="28"/>
        </w:rPr>
        <w:t xml:space="preserve">
     14. Если в организации не обнаружено повышенное облучение работников, но имеются или образуются производственные отходы I категории или выше, то устанавливается производственный радиационный контроль. </w:t>
      </w:r>
      <w:r>
        <w:br/>
      </w:r>
      <w:r>
        <w:rPr>
          <w:rFonts w:ascii="Times New Roman"/>
          <w:b w:val="false"/>
          <w:i w:val="false"/>
          <w:color w:val="000000"/>
          <w:sz w:val="28"/>
        </w:rPr>
        <w:t xml:space="preserve">
     15. Если по результатам обследования обнаружено превышение дозы производственного облучения работников природными источниками 1 мЗв/год, проводится детальное обследование радиационной обстановки с целью оценки структуры доз и суммарных уровней облучения работников. </w:t>
      </w:r>
      <w:r>
        <w:br/>
      </w:r>
      <w:r>
        <w:rPr>
          <w:rFonts w:ascii="Times New Roman"/>
          <w:b w:val="false"/>
          <w:i w:val="false"/>
          <w:color w:val="000000"/>
          <w:sz w:val="28"/>
        </w:rPr>
        <w:t xml:space="preserve">
     16. В организациях, в которых эффективные дозы производственного облучения работников составляют от 1 мЗв/год до 2 мЗв/год, следует проводить радиационный контроль на рабочих местах с наибольшими уровнями облучения работников. </w:t>
      </w:r>
      <w:r>
        <w:br/>
      </w:r>
      <w:r>
        <w:rPr>
          <w:rFonts w:ascii="Times New Roman"/>
          <w:b w:val="false"/>
          <w:i w:val="false"/>
          <w:color w:val="000000"/>
          <w:sz w:val="28"/>
        </w:rPr>
        <w:t xml:space="preserve">
     17. В организациях, в которых эффективные дозы производственного облучения работников превышают 2 мЗв/год, следует проводить постоянный радиационный контроль доз облучения в соответствии с программой производственного радиационного контроля, а также осуществлять мероприятия по снижению облучения. </w:t>
      </w:r>
      <w:r>
        <w:br/>
      </w:r>
      <w:r>
        <w:rPr>
          <w:rFonts w:ascii="Times New Roman"/>
          <w:b w:val="false"/>
          <w:i w:val="false"/>
          <w:color w:val="000000"/>
          <w:sz w:val="28"/>
        </w:rPr>
        <w:t xml:space="preserve">
     При невозможности оперативного снижения уровней облучения работников ниже установленного норматива работники по условиям труда приравниваются к персоналу группы А. </w:t>
      </w:r>
      <w:r>
        <w:br/>
      </w:r>
      <w:r>
        <w:rPr>
          <w:rFonts w:ascii="Times New Roman"/>
          <w:b w:val="false"/>
          <w:i w:val="false"/>
          <w:color w:val="000000"/>
          <w:sz w:val="28"/>
        </w:rPr>
        <w:t xml:space="preserve">
     18. Радиационная безопасность населения, проживающего в зоне воздействия организаций НГК, обеспечена, если средняя годовая эффективная доза облучения критической группы населения не превышает 0,1 мЗв/год как за счет текущей деятельности организаций, так и после реабилитации территории организации по окончании ее деятельности. </w:t>
      </w:r>
    </w:p>
    <w:bookmarkStart w:name="z4" w:id="3"/>
    <w:p>
      <w:pPr>
        <w:spacing w:after="0"/>
        <w:ind w:left="0"/>
        <w:jc w:val="left"/>
      </w:pPr>
      <w:r>
        <w:rPr>
          <w:rFonts w:ascii="Times New Roman"/>
          <w:b/>
          <w:i w:val="false"/>
          <w:color w:val="000000"/>
        </w:rPr>
        <w:t xml:space="preserve"> 
3. Санитарно-эпидемиологические требования к </w:t>
      </w:r>
      <w:r>
        <w:br/>
      </w:r>
      <w:r>
        <w:rPr>
          <w:rFonts w:ascii="Times New Roman"/>
          <w:b/>
          <w:i w:val="false"/>
          <w:color w:val="000000"/>
        </w:rPr>
        <w:t xml:space="preserve">
организации и проведению производственного контроля </w:t>
      </w:r>
    </w:p>
    <w:bookmarkEnd w:id="3"/>
    <w:p>
      <w:pPr>
        <w:spacing w:after="0"/>
        <w:ind w:left="0"/>
        <w:jc w:val="both"/>
      </w:pPr>
      <w:r>
        <w:rPr>
          <w:rFonts w:ascii="Times New Roman"/>
          <w:b w:val="false"/>
          <w:i w:val="false"/>
          <w:color w:val="000000"/>
          <w:sz w:val="28"/>
        </w:rPr>
        <w:t xml:space="preserve">     19. При разработке программы производственного контроля необходимо провести: </w:t>
      </w:r>
      <w:r>
        <w:br/>
      </w:r>
      <w:r>
        <w:rPr>
          <w:rFonts w:ascii="Times New Roman"/>
          <w:b w:val="false"/>
          <w:i w:val="false"/>
          <w:color w:val="000000"/>
          <w:sz w:val="28"/>
        </w:rPr>
        <w:t xml:space="preserve">
     1) первичную оценку радиационной обстановки с расчетом максимально возможных доз производственного облучения работников природными источниками излучения и наличия в организации производственных отходов; </w:t>
      </w:r>
      <w:r>
        <w:br/>
      </w:r>
      <w:r>
        <w:rPr>
          <w:rFonts w:ascii="Times New Roman"/>
          <w:b w:val="false"/>
          <w:i w:val="false"/>
          <w:color w:val="000000"/>
          <w:sz w:val="28"/>
        </w:rPr>
        <w:t xml:space="preserve">
     2) полную оценку радиационной обстановки, включая оценку структуры доз производственного облучения работников природными источниками излучения (приложение 1 к настоящим санитарным правилам), определение основных источников и путей облучения работников, а также классификации производственных отходов и установления видов и объема производственного радиационного контроля. </w:t>
      </w:r>
      <w:r>
        <w:br/>
      </w:r>
      <w:r>
        <w:rPr>
          <w:rFonts w:ascii="Times New Roman"/>
          <w:b w:val="false"/>
          <w:i w:val="false"/>
          <w:color w:val="000000"/>
          <w:sz w:val="28"/>
        </w:rPr>
        <w:t xml:space="preserve">
     20. Производственный радиационный контроль должен включать определение следующих показателей: </w:t>
      </w:r>
      <w:r>
        <w:br/>
      </w:r>
      <w:r>
        <w:rPr>
          <w:rFonts w:ascii="Times New Roman"/>
          <w:b w:val="false"/>
          <w:i w:val="false"/>
          <w:color w:val="000000"/>
          <w:sz w:val="28"/>
        </w:rPr>
        <w:t xml:space="preserve">
     1) удельная и эффективная удельная активность (далее - А </w:t>
      </w:r>
      <w:r>
        <w:rPr>
          <w:rFonts w:ascii="Times New Roman"/>
          <w:b w:val="false"/>
          <w:i w:val="false"/>
          <w:color w:val="000000"/>
          <w:vertAlign w:val="subscript"/>
        </w:rPr>
        <w:t xml:space="preserve">эфф </w:t>
      </w:r>
      <w:r>
        <w:rPr>
          <w:rFonts w:ascii="Times New Roman"/>
          <w:b w:val="false"/>
          <w:i w:val="false"/>
          <w:color w:val="000000"/>
          <w:sz w:val="28"/>
        </w:rPr>
        <w:t xml:space="preserve">) природных радионуклидов в производственных отходах; </w:t>
      </w:r>
      <w:r>
        <w:br/>
      </w:r>
      <w:r>
        <w:rPr>
          <w:rFonts w:ascii="Times New Roman"/>
          <w:b w:val="false"/>
          <w:i w:val="false"/>
          <w:color w:val="000000"/>
          <w:sz w:val="28"/>
        </w:rPr>
        <w:t xml:space="preserve">
     2) мощность дозы гамма- излучения, содержащихся в производственных отходах природных радионуклидов на расстоянии 0,1 метра от поверхности отходов и на рабочих местах (профессиональных маршрутах); </w:t>
      </w:r>
      <w:r>
        <w:br/>
      </w:r>
      <w:r>
        <w:rPr>
          <w:rFonts w:ascii="Times New Roman"/>
          <w:b w:val="false"/>
          <w:i w:val="false"/>
          <w:color w:val="000000"/>
          <w:sz w:val="28"/>
        </w:rPr>
        <w:t xml:space="preserve">
     3) среднегодовое значение общей запыленности воздуха в рабочей зоне и удельная активность природных радионуклидов в пыли; </w:t>
      </w:r>
      <w:r>
        <w:br/>
      </w:r>
      <w:r>
        <w:rPr>
          <w:rFonts w:ascii="Times New Roman"/>
          <w:b w:val="false"/>
          <w:i w:val="false"/>
          <w:color w:val="000000"/>
          <w:sz w:val="28"/>
        </w:rPr>
        <w:t xml:space="preserve">
     4) ЭРОА изотопов радона в воздухе рабочей зоны. </w:t>
      </w:r>
      <w:r>
        <w:br/>
      </w:r>
      <w:r>
        <w:rPr>
          <w:rFonts w:ascii="Times New Roman"/>
          <w:b w:val="false"/>
          <w:i w:val="false"/>
          <w:color w:val="000000"/>
          <w:sz w:val="28"/>
        </w:rPr>
        <w:t xml:space="preserve">
     21. Методики радиационного контроля для оценки уровней облучения работников и установления категории производственных отходов в организациях НГК должны обеспечивать: </w:t>
      </w:r>
      <w:r>
        <w:br/>
      </w:r>
      <w:r>
        <w:rPr>
          <w:rFonts w:ascii="Times New Roman"/>
          <w:b w:val="false"/>
          <w:i w:val="false"/>
          <w:color w:val="000000"/>
          <w:sz w:val="28"/>
        </w:rPr>
        <w:t xml:space="preserve">
     1) определение значений А </w:t>
      </w:r>
      <w:r>
        <w:rPr>
          <w:rFonts w:ascii="Times New Roman"/>
          <w:b w:val="false"/>
          <w:i w:val="false"/>
          <w:color w:val="000000"/>
          <w:vertAlign w:val="subscript"/>
        </w:rPr>
        <w:t xml:space="preserve">эфф </w:t>
      </w:r>
      <w:r>
        <w:rPr>
          <w:rFonts w:ascii="Times New Roman"/>
          <w:b w:val="false"/>
          <w:i w:val="false"/>
          <w:color w:val="000000"/>
          <w:sz w:val="28"/>
        </w:rPr>
        <w:t xml:space="preserve">в пробах отходов производства с суммарной относительной погрешностью не более 20%, при этом методики выполнения измерений должны обеспечивать определение численного значения А </w:t>
      </w:r>
      <w:r>
        <w:rPr>
          <w:rFonts w:ascii="Times New Roman"/>
          <w:b w:val="false"/>
          <w:i w:val="false"/>
          <w:color w:val="000000"/>
          <w:vertAlign w:val="subscript"/>
        </w:rPr>
        <w:t xml:space="preserve">эфф </w:t>
      </w:r>
      <w:r>
        <w:rPr>
          <w:rFonts w:ascii="Times New Roman"/>
          <w:b w:val="false"/>
          <w:i w:val="false"/>
          <w:color w:val="000000"/>
          <w:sz w:val="28"/>
        </w:rPr>
        <w:t xml:space="preserve">как для равновесных рядов урана и тория, так и при отсутствии радиоактивного равновесия в них, а требование, чтобы суммарная погрешность определения не превышала 20%, обязательно для значений А </w:t>
      </w:r>
      <w:r>
        <w:rPr>
          <w:rFonts w:ascii="Times New Roman"/>
          <w:b w:val="false"/>
          <w:i w:val="false"/>
          <w:color w:val="000000"/>
          <w:vertAlign w:val="subscript"/>
        </w:rPr>
        <w:t xml:space="preserve">эфф </w:t>
      </w:r>
      <w:r>
        <w:rPr>
          <w:rFonts w:ascii="Times New Roman"/>
          <w:b w:val="false"/>
          <w:i w:val="false"/>
          <w:color w:val="000000"/>
          <w:sz w:val="28"/>
        </w:rPr>
        <w:t xml:space="preserve">более 1000 Бк/кг; </w:t>
      </w:r>
      <w:r>
        <w:br/>
      </w:r>
      <w:r>
        <w:rPr>
          <w:rFonts w:ascii="Times New Roman"/>
          <w:b w:val="false"/>
          <w:i w:val="false"/>
          <w:color w:val="000000"/>
          <w:sz w:val="28"/>
        </w:rPr>
        <w:t xml:space="preserve">
     2) достоверное измерение мощности дозы гамма-излучения на расстоянии 0,1 м от поверхности производственных отходов и на рабочих местах на уровне 0,1 микроГрей в час (далее - мкГр/ч) и выше; </w:t>
      </w:r>
      <w:r>
        <w:br/>
      </w:r>
      <w:r>
        <w:rPr>
          <w:rFonts w:ascii="Times New Roman"/>
          <w:b w:val="false"/>
          <w:i w:val="false"/>
          <w:color w:val="000000"/>
          <w:sz w:val="28"/>
        </w:rPr>
        <w:t xml:space="preserve">
     3) измерение ЭРОА изотопов радона в воздухе с суммарной погрешностью не более 30 % при значениях выше 25 Бк/м </w:t>
      </w:r>
      <w:r>
        <w:rPr>
          <w:rFonts w:ascii="Times New Roman"/>
          <w:b w:val="false"/>
          <w:i w:val="false"/>
          <w:color w:val="000000"/>
          <w:vertAlign w:val="superscript"/>
        </w:rPr>
        <w:t xml:space="preserve">3 </w:t>
      </w:r>
      <w:r>
        <w:rPr>
          <w:rFonts w:ascii="Times New Roman"/>
          <w:b w:val="false"/>
          <w:i w:val="false"/>
          <w:color w:val="000000"/>
          <w:sz w:val="28"/>
        </w:rPr>
        <w:t xml:space="preserve">- для ЭРОА радона, и выше 5 Бк/м </w:t>
      </w:r>
      <w:r>
        <w:rPr>
          <w:rFonts w:ascii="Times New Roman"/>
          <w:b w:val="false"/>
          <w:i w:val="false"/>
          <w:color w:val="000000"/>
          <w:vertAlign w:val="superscript"/>
        </w:rPr>
        <w:t xml:space="preserve">3 </w:t>
      </w:r>
      <w:r>
        <w:rPr>
          <w:rFonts w:ascii="Times New Roman"/>
          <w:b w:val="false"/>
          <w:i w:val="false"/>
          <w:color w:val="000000"/>
          <w:sz w:val="28"/>
        </w:rPr>
        <w:t xml:space="preserve">- для ЭРОА торона; </w:t>
      </w:r>
      <w:r>
        <w:br/>
      </w:r>
      <w:r>
        <w:rPr>
          <w:rFonts w:ascii="Times New Roman"/>
          <w:b w:val="false"/>
          <w:i w:val="false"/>
          <w:color w:val="000000"/>
          <w:sz w:val="28"/>
        </w:rPr>
        <w:t xml:space="preserve">
     4) достоверное определение среднегодовой общей запыленности воздуха в зоне дыхания работников организаций на уровне 1 мг/м </w:t>
      </w:r>
      <w:r>
        <w:rPr>
          <w:rFonts w:ascii="Times New Roman"/>
          <w:b w:val="false"/>
          <w:i w:val="false"/>
          <w:color w:val="000000"/>
          <w:vertAlign w:val="superscript"/>
        </w:rPr>
        <w:t xml:space="preserve">3 </w:t>
      </w:r>
      <w:r>
        <w:rPr>
          <w:rFonts w:ascii="Times New Roman"/>
          <w:b w:val="false"/>
          <w:i w:val="false"/>
          <w:color w:val="000000"/>
          <w:sz w:val="28"/>
        </w:rPr>
        <w:t xml:space="preserve">и выше; </w:t>
      </w:r>
      <w:r>
        <w:br/>
      </w:r>
      <w:r>
        <w:rPr>
          <w:rFonts w:ascii="Times New Roman"/>
          <w:b w:val="false"/>
          <w:i w:val="false"/>
          <w:color w:val="000000"/>
          <w:sz w:val="28"/>
        </w:rPr>
        <w:t xml:space="preserve">
     5) определение удельной активности природных радионуклидов в производственной пыли в зоне дыхания работников для основных радионуклидов рядов урана-238 и тория-232 (приложение 2 к настоящим санитарным правилам). </w:t>
      </w:r>
      <w:r>
        <w:br/>
      </w:r>
      <w:r>
        <w:rPr>
          <w:rFonts w:ascii="Times New Roman"/>
          <w:b w:val="false"/>
          <w:i w:val="false"/>
          <w:color w:val="000000"/>
          <w:sz w:val="28"/>
        </w:rPr>
        <w:t xml:space="preserve">
     22. При проведении производственного радиационного контроля с целью оценки доз производственного облучения работников природными источниками допускается осуществлять инструментальные измерения значений радиационных факторов, вклад которых в суммарные дозы превышает 20%. При этом вклад неконтролируемых параметров в суммарные дозы облучения должен учитываться введением соответствующих коэффициентов. </w:t>
      </w:r>
      <w:r>
        <w:br/>
      </w:r>
      <w:r>
        <w:rPr>
          <w:rFonts w:ascii="Times New Roman"/>
          <w:b w:val="false"/>
          <w:i w:val="false"/>
          <w:color w:val="000000"/>
          <w:sz w:val="28"/>
        </w:rPr>
        <w:t xml:space="preserve">
     23. Первичная сортировка (оценка класса) производственных отходов осуществляется путем измерения мощности дозы гамма-излучения в стандартных условиях с учетом массы и формы размещения отходов, расположения точек измерений. Переходный коэффициент для данных измерений определяется на основании гамма-спектрометрического анализа отходов. Окончательное установление класса производственных отходов производится по результатам гамма-спектрометрического анализа. </w:t>
      </w:r>
    </w:p>
    <w:bookmarkStart w:name="z5" w:id="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w:t>
      </w:r>
      <w:r>
        <w:br/>
      </w:r>
      <w:r>
        <w:rPr>
          <w:rFonts w:ascii="Times New Roman"/>
          <w:b w:val="false"/>
          <w:i w:val="false"/>
          <w:color w:val="000000"/>
          <w:sz w:val="28"/>
        </w:rPr>
        <w:t xml:space="preserve">
по обеспечению радиационной </w:t>
      </w:r>
      <w:r>
        <w:br/>
      </w:r>
      <w:r>
        <w:rPr>
          <w:rFonts w:ascii="Times New Roman"/>
          <w:b w:val="false"/>
          <w:i w:val="false"/>
          <w:color w:val="000000"/>
          <w:sz w:val="28"/>
        </w:rPr>
        <w:t xml:space="preserve">
безопасности объектов     </w:t>
      </w:r>
      <w:r>
        <w:br/>
      </w:r>
      <w:r>
        <w:rPr>
          <w:rFonts w:ascii="Times New Roman"/>
          <w:b w:val="false"/>
          <w:i w:val="false"/>
          <w:color w:val="000000"/>
          <w:sz w:val="28"/>
        </w:rPr>
        <w:t xml:space="preserve">
нефтегазового комплекса"   </w:t>
      </w:r>
    </w:p>
    <w:bookmarkEnd w:id="4"/>
    <w:p>
      <w:pPr>
        <w:spacing w:after="0"/>
        <w:ind w:left="0"/>
        <w:jc w:val="left"/>
      </w:pPr>
      <w:r>
        <w:rPr>
          <w:rFonts w:ascii="Times New Roman"/>
          <w:b/>
          <w:i w:val="false"/>
          <w:color w:val="000000"/>
        </w:rPr>
        <w:t xml:space="preserve"> Методика оценки доз облучения работников </w:t>
      </w:r>
      <w:r>
        <w:br/>
      </w:r>
      <w:r>
        <w:rPr>
          <w:rFonts w:ascii="Times New Roman"/>
          <w:b/>
          <w:i w:val="false"/>
          <w:color w:val="000000"/>
        </w:rPr>
        <w:t xml:space="preserve">
организаций НГК природными источниками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Контроль внешнего облучения работников </w:t>
      </w:r>
      <w:r>
        <w:br/>
      </w:r>
      <w:r>
        <w:rPr>
          <w:rFonts w:ascii="Times New Roman"/>
          <w:b w:val="false"/>
          <w:i w:val="false"/>
          <w:color w:val="000000"/>
          <w:sz w:val="28"/>
        </w:rPr>
        <w:t>
 </w:t>
      </w:r>
      <w:r>
        <w:br/>
      </w:r>
      <w:r>
        <w:rPr>
          <w:rFonts w:ascii="Times New Roman"/>
          <w:b w:val="false"/>
          <w:i w:val="false"/>
          <w:color w:val="000000"/>
          <w:sz w:val="28"/>
        </w:rPr>
        <w:t xml:space="preserve">
     1. Эффективные дозы облучения работников организаций определяются средними значениями мощности дозы гамма-излучения и временем, в течение которого работники подвергаются облучению. </w:t>
      </w:r>
      <w:r>
        <w:br/>
      </w:r>
      <w:r>
        <w:rPr>
          <w:rFonts w:ascii="Times New Roman"/>
          <w:b w:val="false"/>
          <w:i w:val="false"/>
          <w:color w:val="000000"/>
          <w:sz w:val="28"/>
        </w:rPr>
        <w:t xml:space="preserve">
     2. Оценку эффективной дозы внешнего облучения работников следует проводить на основе измеренных значений мощности дозы (далее - Р) внешнего гамма-излучения на высоте 1 м над поверхностью земли (пола) на рабочем месте и времени работы данного работника на рассматриваемом участке (операции) в течение года (далее - Т). </w:t>
      </w:r>
      <w:r>
        <w:br/>
      </w:r>
      <w:r>
        <w:rPr>
          <w:rFonts w:ascii="Times New Roman"/>
          <w:b w:val="false"/>
          <w:i w:val="false"/>
          <w:color w:val="000000"/>
          <w:sz w:val="28"/>
        </w:rPr>
        <w:t xml:space="preserve">
     Годовая эффективная доза внешнего гамма-излучения (Е </w:t>
      </w:r>
      <w:r>
        <w:rPr>
          <w:rFonts w:ascii="Times New Roman"/>
          <w:b w:val="false"/>
          <w:i w:val="false"/>
          <w:color w:val="000000"/>
          <w:vertAlign w:val="subscript"/>
        </w:rPr>
        <w:t xml:space="preserve">1 </w:t>
      </w:r>
      <w:r>
        <w:rPr>
          <w:rFonts w:ascii="Times New Roman"/>
          <w:b w:val="false"/>
          <w:i w:val="false"/>
          <w:color w:val="000000"/>
          <w:vertAlign w:val="superscript"/>
        </w:rPr>
        <w:t xml:space="preserve">внешн. </w:t>
      </w:r>
      <w:r>
        <w:rPr>
          <w:rFonts w:ascii="Times New Roman"/>
          <w:b w:val="false"/>
          <w:i w:val="false"/>
          <w:color w:val="000000"/>
          <w:sz w:val="28"/>
        </w:rPr>
        <w:t xml:space="preserve">) </w:t>
      </w:r>
      <w:r>
        <w:br/>
      </w:r>
      <w:r>
        <w:rPr>
          <w:rFonts w:ascii="Times New Roman"/>
          <w:b w:val="false"/>
          <w:i w:val="false"/>
          <w:color w:val="000000"/>
          <w:sz w:val="28"/>
        </w:rPr>
        <w:t xml:space="preserve">
рассчитывается по формуле: </w:t>
      </w:r>
      <w:r>
        <w:br/>
      </w:r>
      <w:r>
        <w:rPr>
          <w:rFonts w:ascii="Times New Roman"/>
          <w:b w:val="false"/>
          <w:i w:val="false"/>
          <w:color w:val="000000"/>
          <w:sz w:val="28"/>
        </w:rPr>
        <w:t>
 </w:t>
      </w:r>
      <w:r>
        <w:br/>
      </w:r>
      <w:r>
        <w:rPr>
          <w:rFonts w:ascii="Times New Roman"/>
          <w:b w:val="false"/>
          <w:i w:val="false"/>
          <w:color w:val="000000"/>
          <w:sz w:val="28"/>
        </w:rPr>
        <w:t xml:space="preserve">
            Е </w:t>
      </w:r>
      <w:r>
        <w:rPr>
          <w:rFonts w:ascii="Times New Roman"/>
          <w:b w:val="false"/>
          <w:i w:val="false"/>
          <w:color w:val="000000"/>
          <w:vertAlign w:val="subscript"/>
        </w:rPr>
        <w:t xml:space="preserve">1 </w:t>
      </w:r>
      <w:r>
        <w:rPr>
          <w:rFonts w:ascii="Times New Roman"/>
          <w:b w:val="false"/>
          <w:i w:val="false"/>
          <w:color w:val="000000"/>
          <w:vertAlign w:val="superscript"/>
        </w:rPr>
        <w:t xml:space="preserve">внешн </w:t>
      </w:r>
      <w:r>
        <w:rPr>
          <w:rFonts w:ascii="Times New Roman"/>
          <w:b w:val="false"/>
          <w:i w:val="false"/>
          <w:color w:val="000000"/>
          <w:sz w:val="28"/>
        </w:rPr>
        <w:t xml:space="preserve">= К </w:t>
      </w:r>
      <w:r>
        <w:rPr>
          <w:rFonts w:ascii="Times New Roman"/>
          <w:b w:val="false"/>
          <w:i w:val="false"/>
          <w:color w:val="000000"/>
          <w:vertAlign w:val="superscript"/>
        </w:rPr>
        <w:t xml:space="preserve">е </w:t>
      </w:r>
      <w:r>
        <w:rPr>
          <w:rFonts w:ascii="Times New Roman"/>
          <w:b w:val="false"/>
          <w:i w:val="false"/>
          <w:color w:val="000000"/>
          <w:sz w:val="28"/>
        </w:rPr>
        <w:t xml:space="preserve">Р </w:t>
      </w:r>
      <w:r>
        <w:rPr>
          <w:rFonts w:ascii="Times New Roman"/>
          <w:b w:val="false"/>
          <w:i w:val="false"/>
          <w:color w:val="000000"/>
          <w:vertAlign w:val="subscript"/>
        </w:rPr>
        <w:t xml:space="preserve">y </w:t>
      </w:r>
      <w:r>
        <w:rPr>
          <w:rFonts w:ascii="Times New Roman"/>
          <w:b w:val="false"/>
          <w:i w:val="false"/>
          <w:color w:val="000000"/>
          <w:sz w:val="28"/>
        </w:rPr>
        <w:t xml:space="preserve">Т </w:t>
      </w:r>
      <w:r>
        <w:rPr>
          <w:rFonts w:ascii="Times New Roman"/>
          <w:b w:val="false"/>
          <w:i w:val="false"/>
          <w:color w:val="000000"/>
          <w:vertAlign w:val="subscript"/>
        </w:rPr>
        <w:t xml:space="preserve">p </w:t>
      </w:r>
      <w:r>
        <w:rPr>
          <w:rFonts w:ascii="Times New Roman"/>
          <w:b w:val="false"/>
          <w:i w:val="false"/>
          <w:color w:val="000000"/>
          <w:sz w:val="28"/>
        </w:rPr>
        <w:t xml:space="preserve">, м3в/год,            (1) </w:t>
      </w:r>
      <w:r>
        <w:br/>
      </w:r>
      <w:r>
        <w:rPr>
          <w:rFonts w:ascii="Times New Roman"/>
          <w:b w:val="false"/>
          <w:i w:val="false"/>
          <w:color w:val="000000"/>
          <w:sz w:val="28"/>
        </w:rPr>
        <w:t xml:space="preserve">
     где: К </w:t>
      </w:r>
      <w:r>
        <w:rPr>
          <w:rFonts w:ascii="Times New Roman"/>
          <w:b w:val="false"/>
          <w:i w:val="false"/>
          <w:color w:val="000000"/>
          <w:vertAlign w:val="superscript"/>
        </w:rPr>
        <w:t xml:space="preserve">е </w:t>
      </w:r>
      <w:r>
        <w:rPr>
          <w:rFonts w:ascii="Times New Roman"/>
          <w:b w:val="false"/>
          <w:i w:val="false"/>
          <w:color w:val="000000"/>
          <w:sz w:val="28"/>
        </w:rPr>
        <w:t xml:space="preserve">- дозовый коэффициент, значение которого принимается равным: </w:t>
      </w:r>
      <w:r>
        <w:br/>
      </w:r>
      <w:r>
        <w:rPr>
          <w:rFonts w:ascii="Times New Roman"/>
          <w:b w:val="false"/>
          <w:i w:val="false"/>
          <w:color w:val="000000"/>
          <w:sz w:val="28"/>
        </w:rPr>
        <w:t xml:space="preserve">
     1) 0,006 мЗв/мР, если Р </w:t>
      </w:r>
      <w:r>
        <w:rPr>
          <w:rFonts w:ascii="Times New Roman"/>
          <w:b w:val="false"/>
          <w:i w:val="false"/>
          <w:color w:val="000000"/>
          <w:vertAlign w:val="subscript"/>
        </w:rPr>
        <w:t xml:space="preserve">y </w:t>
      </w:r>
      <w:r>
        <w:rPr>
          <w:rFonts w:ascii="Times New Roman"/>
          <w:b w:val="false"/>
          <w:i w:val="false"/>
          <w:color w:val="000000"/>
          <w:sz w:val="28"/>
        </w:rPr>
        <w:t xml:space="preserve">- мощность экспозиционной дозы в миллиРентгенах в час (далее - мР/ч); </w:t>
      </w:r>
      <w:r>
        <w:br/>
      </w:r>
      <w:r>
        <w:rPr>
          <w:rFonts w:ascii="Times New Roman"/>
          <w:b w:val="false"/>
          <w:i w:val="false"/>
          <w:color w:val="000000"/>
          <w:sz w:val="28"/>
        </w:rPr>
        <w:t xml:space="preserve">
     2) 0,0007 мЗв/мкЗв, если Р </w:t>
      </w:r>
      <w:r>
        <w:rPr>
          <w:rFonts w:ascii="Times New Roman"/>
          <w:b w:val="false"/>
          <w:i w:val="false"/>
          <w:color w:val="000000"/>
          <w:vertAlign w:val="subscript"/>
        </w:rPr>
        <w:t xml:space="preserve">y </w:t>
      </w:r>
      <w:r>
        <w:rPr>
          <w:rFonts w:ascii="Times New Roman"/>
          <w:b w:val="false"/>
          <w:i w:val="false"/>
          <w:color w:val="000000"/>
          <w:sz w:val="28"/>
        </w:rPr>
        <w:t xml:space="preserve">- мощность эквивалентной дозы в мкЗв/ч. </w:t>
      </w:r>
      <w:r>
        <w:br/>
      </w:r>
      <w:r>
        <w:rPr>
          <w:rFonts w:ascii="Times New Roman"/>
          <w:b w:val="false"/>
          <w:i w:val="false"/>
          <w:color w:val="000000"/>
          <w:sz w:val="28"/>
        </w:rPr>
        <w:t xml:space="preserve">
     3. Мощность дозы гамма-излучения (Р </w:t>
      </w:r>
      <w:r>
        <w:rPr>
          <w:rFonts w:ascii="Times New Roman"/>
          <w:b w:val="false"/>
          <w:i w:val="false"/>
          <w:color w:val="000000"/>
          <w:vertAlign w:val="subscript"/>
        </w:rPr>
        <w:t xml:space="preserve">y </w:t>
      </w:r>
      <w:r>
        <w:rPr>
          <w:rFonts w:ascii="Times New Roman"/>
          <w:b w:val="false"/>
          <w:i w:val="false"/>
          <w:color w:val="000000"/>
          <w:sz w:val="28"/>
        </w:rPr>
        <w:t xml:space="preserve">) должна определяться с </w:t>
      </w:r>
      <w:r>
        <w:br/>
      </w:r>
      <w:r>
        <w:rPr>
          <w:rFonts w:ascii="Times New Roman"/>
          <w:b w:val="false"/>
          <w:i w:val="false"/>
          <w:color w:val="000000"/>
          <w:sz w:val="28"/>
        </w:rPr>
        <w:t xml:space="preserve">
учетом уровня собственного фона дозиметра (Рф) и отклика его на космическое излучение (Р </w:t>
      </w:r>
      <w:r>
        <w:rPr>
          <w:rFonts w:ascii="Times New Roman"/>
          <w:b w:val="false"/>
          <w:i w:val="false"/>
          <w:color w:val="000000"/>
          <w:vertAlign w:val="subscript"/>
        </w:rPr>
        <w:t xml:space="preserve">к </w:t>
      </w:r>
      <w:r>
        <w:rPr>
          <w:rFonts w:ascii="Times New Roman"/>
          <w:b w:val="false"/>
          <w:i w:val="false"/>
          <w:color w:val="000000"/>
          <w:sz w:val="28"/>
        </w:rPr>
        <w:t xml:space="preserve">): </w:t>
      </w:r>
      <w:r>
        <w:br/>
      </w:r>
      <w:r>
        <w:rPr>
          <w:rFonts w:ascii="Times New Roman"/>
          <w:b w:val="false"/>
          <w:i w:val="false"/>
          <w:color w:val="000000"/>
          <w:sz w:val="28"/>
        </w:rPr>
        <w:t xml:space="preserve">
                   Р </w:t>
      </w:r>
      <w:r>
        <w:rPr>
          <w:rFonts w:ascii="Times New Roman"/>
          <w:b w:val="false"/>
          <w:i w:val="false"/>
          <w:color w:val="000000"/>
          <w:vertAlign w:val="subscript"/>
        </w:rPr>
        <w:t xml:space="preserve">y </w:t>
      </w:r>
      <w:r>
        <w:rPr>
          <w:rFonts w:ascii="Times New Roman"/>
          <w:b w:val="false"/>
          <w:i w:val="false"/>
          <w:color w:val="000000"/>
          <w:sz w:val="28"/>
        </w:rPr>
        <w:t xml:space="preserve">= Р </w:t>
      </w:r>
      <w:r>
        <w:rPr>
          <w:rFonts w:ascii="Times New Roman"/>
          <w:b w:val="false"/>
          <w:i w:val="false"/>
          <w:color w:val="000000"/>
          <w:vertAlign w:val="subscript"/>
        </w:rPr>
        <w:t xml:space="preserve">1 </w:t>
      </w:r>
      <w:r>
        <w:rPr>
          <w:rFonts w:ascii="Times New Roman"/>
          <w:b w:val="false"/>
          <w:i w:val="false"/>
          <w:color w:val="000000"/>
          <w:sz w:val="28"/>
        </w:rPr>
        <w:t xml:space="preserve">- (Р </w:t>
      </w:r>
      <w:r>
        <w:rPr>
          <w:rFonts w:ascii="Times New Roman"/>
          <w:b w:val="false"/>
          <w:i w:val="false"/>
          <w:color w:val="000000"/>
          <w:vertAlign w:val="subscript"/>
        </w:rPr>
        <w:t xml:space="preserve">ф </w:t>
      </w:r>
      <w:r>
        <w:rPr>
          <w:rFonts w:ascii="Times New Roman"/>
          <w:b w:val="false"/>
          <w:i w:val="false"/>
          <w:color w:val="000000"/>
          <w:sz w:val="28"/>
        </w:rPr>
        <w:t xml:space="preserve">+ Р </w:t>
      </w:r>
      <w:r>
        <w:rPr>
          <w:rFonts w:ascii="Times New Roman"/>
          <w:b w:val="false"/>
          <w:i w:val="false"/>
          <w:color w:val="000000"/>
          <w:vertAlign w:val="subscript"/>
        </w:rPr>
        <w:t xml:space="preserve">к </w:t>
      </w:r>
      <w:r>
        <w:rPr>
          <w:rFonts w:ascii="Times New Roman"/>
          <w:b w:val="false"/>
          <w:i w:val="false"/>
          <w:color w:val="000000"/>
          <w:sz w:val="28"/>
        </w:rPr>
        <w:t xml:space="preserve">)              (2) </w:t>
      </w:r>
      <w:r>
        <w:br/>
      </w:r>
      <w:r>
        <w:rPr>
          <w:rFonts w:ascii="Times New Roman"/>
          <w:b w:val="false"/>
          <w:i w:val="false"/>
          <w:color w:val="000000"/>
          <w:sz w:val="28"/>
        </w:rPr>
        <w:t xml:space="preserve">
     где: Р </w:t>
      </w:r>
      <w:r>
        <w:rPr>
          <w:rFonts w:ascii="Times New Roman"/>
          <w:b w:val="false"/>
          <w:i w:val="false"/>
          <w:color w:val="000000"/>
          <w:vertAlign w:val="subscript"/>
        </w:rPr>
        <w:t xml:space="preserve">1 </w:t>
      </w:r>
      <w:r>
        <w:rPr>
          <w:rFonts w:ascii="Times New Roman"/>
          <w:b w:val="false"/>
          <w:i w:val="false"/>
          <w:color w:val="000000"/>
          <w:sz w:val="28"/>
        </w:rPr>
        <w:t xml:space="preserve">- показания дозиметра в точке измерений. </w:t>
      </w:r>
      <w:r>
        <w:br/>
      </w:r>
      <w:r>
        <w:rPr>
          <w:rFonts w:ascii="Times New Roman"/>
          <w:b w:val="false"/>
          <w:i w:val="false"/>
          <w:color w:val="000000"/>
          <w:sz w:val="28"/>
        </w:rPr>
        <w:t xml:space="preserve">
     Численное значение параметра (Р </w:t>
      </w:r>
      <w:r>
        <w:rPr>
          <w:rFonts w:ascii="Times New Roman"/>
          <w:b w:val="false"/>
          <w:i w:val="false"/>
          <w:color w:val="000000"/>
          <w:vertAlign w:val="subscript"/>
        </w:rPr>
        <w:t xml:space="preserve">ф </w:t>
      </w:r>
      <w:r>
        <w:rPr>
          <w:rFonts w:ascii="Times New Roman"/>
          <w:b w:val="false"/>
          <w:i w:val="false"/>
          <w:color w:val="000000"/>
          <w:sz w:val="28"/>
        </w:rPr>
        <w:t xml:space="preserve">+ Р </w:t>
      </w:r>
      <w:r>
        <w:rPr>
          <w:rFonts w:ascii="Times New Roman"/>
          <w:b w:val="false"/>
          <w:i w:val="false"/>
          <w:color w:val="000000"/>
          <w:vertAlign w:val="subscript"/>
        </w:rPr>
        <w:t xml:space="preserve">к </w:t>
      </w:r>
      <w:r>
        <w:rPr>
          <w:rFonts w:ascii="Times New Roman"/>
          <w:b w:val="false"/>
          <w:i w:val="false"/>
          <w:color w:val="000000"/>
          <w:sz w:val="28"/>
        </w:rPr>
        <w:t xml:space="preserve">) определяется для каждого дозиметра индивидуально путем многократных измерений, выполненных над водной поверхностью при глубине воды не менее 5м на расстоянии от берега 50м или более. </w:t>
      </w:r>
      <w:r>
        <w:br/>
      </w:r>
      <w:r>
        <w:rPr>
          <w:rFonts w:ascii="Times New Roman"/>
          <w:b w:val="false"/>
          <w:i w:val="false"/>
          <w:color w:val="000000"/>
          <w:sz w:val="28"/>
        </w:rPr>
        <w:t xml:space="preserve">
     4. Время работы на различных технологических участках Т </w:t>
      </w:r>
      <w:r>
        <w:rPr>
          <w:rFonts w:ascii="Times New Roman"/>
          <w:b w:val="false"/>
          <w:i w:val="false"/>
          <w:color w:val="000000"/>
          <w:vertAlign w:val="subscript"/>
        </w:rPr>
        <w:t xml:space="preserve">р </w:t>
      </w:r>
      <w:r>
        <w:rPr>
          <w:rFonts w:ascii="Times New Roman"/>
          <w:b w:val="false"/>
          <w:i w:val="false"/>
          <w:color w:val="000000"/>
          <w:sz w:val="28"/>
        </w:rPr>
        <w:t xml:space="preserve">(час) может колебаться от 0 до 2000 ч в год. Если работник в течение года работает на нескольких участках (N рабочих местах или операциях) с существенно отличающимися значениями Р, для него годовая эффективная доза за счет внешнего облучения составит: </w:t>
      </w:r>
      <w:r>
        <w:br/>
      </w: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 xml:space="preserve">_N </w:t>
      </w:r>
      <w:r>
        <w:br/>
      </w:r>
      <w:r>
        <w:rPr>
          <w:rFonts w:ascii="Times New Roman"/>
          <w:b w:val="false"/>
          <w:i w:val="false"/>
          <w:color w:val="000000"/>
          <w:sz w:val="28"/>
        </w:rPr>
        <w:t xml:space="preserve">
                   \ </w:t>
      </w:r>
      <w:r>
        <w:br/>
      </w:r>
      <w:r>
        <w:rPr>
          <w:rFonts w:ascii="Times New Roman"/>
          <w:b w:val="false"/>
          <w:i w:val="false"/>
          <w:color w:val="000000"/>
          <w:sz w:val="28"/>
        </w:rPr>
        <w:t xml:space="preserve">
       E </w:t>
      </w:r>
      <w:r>
        <w:rPr>
          <w:rFonts w:ascii="Times New Roman"/>
          <w:b w:val="false"/>
          <w:i w:val="false"/>
          <w:color w:val="000000"/>
          <w:vertAlign w:val="subscript"/>
        </w:rPr>
        <w:t xml:space="preserve">1 </w:t>
      </w:r>
      <w:r>
        <w:rPr>
          <w:rFonts w:ascii="Times New Roman"/>
          <w:b w:val="false"/>
          <w:i w:val="false"/>
          <w:color w:val="000000"/>
          <w:vertAlign w:val="superscript"/>
        </w:rPr>
        <w:t xml:space="preserve">внеш. </w:t>
      </w:r>
      <w:r>
        <w:rPr>
          <w:rFonts w:ascii="Times New Roman"/>
          <w:b w:val="false"/>
          <w:i w:val="false"/>
          <w:color w:val="000000"/>
          <w:sz w:val="28"/>
        </w:rPr>
        <w:t xml:space="preserve">= K </w:t>
      </w:r>
      <w:r>
        <w:rPr>
          <w:rFonts w:ascii="Times New Roman"/>
          <w:b w:val="false"/>
          <w:i w:val="false"/>
          <w:color w:val="000000"/>
          <w:vertAlign w:val="superscript"/>
        </w:rPr>
        <w:t xml:space="preserve">е . </w:t>
      </w:r>
      <w:r>
        <w:rPr>
          <w:rFonts w:ascii="Times New Roman"/>
          <w:b w:val="false"/>
          <w:i w:val="false"/>
          <w:color w:val="000000"/>
          <w:sz w:val="28"/>
          <w:u w:val="single"/>
        </w:rPr>
        <w:t xml:space="preserve">/ </w:t>
      </w:r>
      <w:r>
        <w:rPr>
          <w:rFonts w:ascii="Times New Roman"/>
          <w:b w:val="false"/>
          <w:i w:val="false"/>
          <w:color w:val="000000"/>
          <w:sz w:val="28"/>
        </w:rPr>
        <w:t xml:space="preserve">P </w:t>
      </w:r>
      <w:r>
        <w:rPr>
          <w:rFonts w:ascii="Times New Roman"/>
          <w:b w:val="false"/>
          <w:i w:val="false"/>
          <w:color w:val="000000"/>
          <w:vertAlign w:val="subscript"/>
        </w:rPr>
        <w:t xml:space="preserve">y,n </w:t>
      </w:r>
      <w:r>
        <w:rPr>
          <w:rFonts w:ascii="Times New Roman"/>
          <w:b w:val="false"/>
          <w:i w:val="false"/>
          <w:color w:val="000000"/>
          <w:sz w:val="28"/>
        </w:rPr>
        <w:t xml:space="preserve">. T </w:t>
      </w:r>
      <w:r>
        <w:rPr>
          <w:rFonts w:ascii="Times New Roman"/>
          <w:b w:val="false"/>
          <w:i w:val="false"/>
          <w:color w:val="000000"/>
          <w:vertAlign w:val="subscript"/>
        </w:rPr>
        <w:t xml:space="preserve">p,т </w:t>
      </w:r>
      <w:r>
        <w:rPr>
          <w:rFonts w:ascii="Times New Roman"/>
          <w:b w:val="false"/>
          <w:i w:val="false"/>
          <w:color w:val="000000"/>
          <w:sz w:val="28"/>
        </w:rPr>
        <w:t xml:space="preserve">, мЗв </w:t>
      </w:r>
      <w:r>
        <w:br/>
      </w:r>
      <w:r>
        <w:rPr>
          <w:rFonts w:ascii="Times New Roman"/>
          <w:b w:val="false"/>
          <w:i w:val="false"/>
          <w:color w:val="000000"/>
          <w:sz w:val="28"/>
        </w:rPr>
        <w:t>
</w:t>
      </w:r>
      <w:r>
        <w:rPr>
          <w:rFonts w:ascii="Times New Roman"/>
          <w:b w:val="false"/>
          <w:i w:val="false"/>
          <w:color w:val="000000"/>
          <w:vertAlign w:val="subscript"/>
        </w:rPr>
        <w:t xml:space="preserve">                      </w:t>
      </w:r>
      <w:r>
        <w:rPr>
          <w:rFonts w:ascii="Times New Roman"/>
          <w:b w:val="false"/>
          <w:i w:val="false"/>
          <w:color w:val="000000"/>
          <w:vertAlign w:val="superscript"/>
        </w:rPr>
        <w:t xml:space="preserve"> n=1 </w:t>
      </w:r>
      <w:r>
        <w:rPr>
          <w:rFonts w:ascii="Times New Roman"/>
          <w:b w:val="false"/>
          <w:i w:val="false"/>
          <w:color w:val="000000"/>
          <w:vertAlign w:val="subscript"/>
        </w:rPr>
        <w:t xml:space="preserve">                            </w:t>
      </w:r>
      <w:r>
        <w:rPr>
          <w:rFonts w:ascii="Times New Roman"/>
          <w:b w:val="false"/>
          <w:i w:val="false"/>
          <w:color w:val="000000"/>
          <w:sz w:val="28"/>
        </w:rPr>
        <w:t xml:space="preserve">(3) </w:t>
      </w:r>
      <w:r>
        <w:br/>
      </w:r>
      <w:r>
        <w:rPr>
          <w:rFonts w:ascii="Times New Roman"/>
          <w:b w:val="false"/>
          <w:i w:val="false"/>
          <w:color w:val="000000"/>
          <w:sz w:val="28"/>
        </w:rPr>
        <w:t>
 </w:t>
      </w:r>
      <w:r>
        <w:br/>
      </w:r>
      <w:r>
        <w:rPr>
          <w:rFonts w:ascii="Times New Roman"/>
          <w:b w:val="false"/>
          <w:i w:val="false"/>
          <w:color w:val="000000"/>
          <w:sz w:val="28"/>
        </w:rPr>
        <w:t xml:space="preserve">
     где Р </w:t>
      </w:r>
      <w:r>
        <w:rPr>
          <w:rFonts w:ascii="Times New Roman"/>
          <w:b w:val="false"/>
          <w:i w:val="false"/>
          <w:color w:val="000000"/>
          <w:vertAlign w:val="subscript"/>
        </w:rPr>
        <w:t xml:space="preserve">y </w:t>
      </w:r>
      <w:r>
        <w:rPr>
          <w:rFonts w:ascii="Times New Roman"/>
          <w:b w:val="false"/>
          <w:i w:val="false"/>
          <w:color w:val="000000"/>
          <w:sz w:val="28"/>
        </w:rPr>
        <w:t xml:space="preserve">- мощность дозы на высоте 1 м над поверхностью n-го участка; </w:t>
      </w:r>
      <w:r>
        <w:br/>
      </w:r>
      <w:r>
        <w:rPr>
          <w:rFonts w:ascii="Times New Roman"/>
          <w:b w:val="false"/>
          <w:i w:val="false"/>
          <w:color w:val="000000"/>
          <w:sz w:val="28"/>
        </w:rPr>
        <w:t xml:space="preserve">
     Т </w:t>
      </w:r>
      <w:r>
        <w:rPr>
          <w:rFonts w:ascii="Times New Roman"/>
          <w:b w:val="false"/>
          <w:i w:val="false"/>
          <w:color w:val="000000"/>
          <w:vertAlign w:val="subscript"/>
        </w:rPr>
        <w:t xml:space="preserve">рn </w:t>
      </w:r>
      <w:r>
        <w:rPr>
          <w:rFonts w:ascii="Times New Roman"/>
          <w:b w:val="false"/>
          <w:i w:val="false"/>
          <w:color w:val="000000"/>
          <w:sz w:val="28"/>
        </w:rPr>
        <w:t xml:space="preserve">- время работы на n-ом участке в течение года. </w:t>
      </w:r>
      <w:r>
        <w:br/>
      </w:r>
      <w:r>
        <w:rPr>
          <w:rFonts w:ascii="Times New Roman"/>
          <w:b w:val="false"/>
          <w:i w:val="false"/>
          <w:color w:val="000000"/>
          <w:sz w:val="28"/>
        </w:rPr>
        <w:t>
 </w:t>
      </w:r>
      <w:r>
        <w:br/>
      </w:r>
      <w:r>
        <w:rPr>
          <w:rFonts w:ascii="Times New Roman"/>
          <w:b w:val="false"/>
          <w:i w:val="false"/>
          <w:color w:val="000000"/>
          <w:sz w:val="28"/>
        </w:rPr>
        <w:t xml:space="preserve">
     5. При определении дозы внешнего облучения работника должно </w:t>
      </w:r>
      <w:r>
        <w:br/>
      </w:r>
      <w:r>
        <w:rPr>
          <w:rFonts w:ascii="Times New Roman"/>
          <w:b w:val="false"/>
          <w:i w:val="false"/>
          <w:color w:val="000000"/>
          <w:sz w:val="28"/>
        </w:rPr>
        <w:t xml:space="preserve">
выполняться условие: </w:t>
      </w:r>
      <w:r>
        <w:br/>
      </w: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 xml:space="preserve">_N </w:t>
      </w:r>
      <w:r>
        <w:br/>
      </w:r>
      <w:r>
        <w:rPr>
          <w:rFonts w:ascii="Times New Roman"/>
          <w:b w:val="false"/>
          <w:i w:val="false"/>
          <w:color w:val="000000"/>
          <w:sz w:val="28"/>
        </w:rPr>
        <w:t xml:space="preserve">
                   \ </w:t>
      </w:r>
      <w:r>
        <w:br/>
      </w: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 P </w:t>
      </w:r>
      <w:r>
        <w:rPr>
          <w:rFonts w:ascii="Times New Roman"/>
          <w:b w:val="false"/>
          <w:i w:val="false"/>
          <w:color w:val="000000"/>
          <w:vertAlign w:val="superscript"/>
        </w:rPr>
        <w:t xml:space="preserve">е </w:t>
      </w:r>
      <w:r>
        <w:rPr>
          <w:rFonts w:ascii="Times New Roman"/>
          <w:b w:val="false"/>
          <w:i w:val="false"/>
          <w:color w:val="000000"/>
          <w:vertAlign w:val="subscript"/>
        </w:rPr>
        <w:t xml:space="preserve">р </w:t>
      </w:r>
      <w:r>
        <w:br/>
      </w:r>
      <w:r>
        <w:rPr>
          <w:rFonts w:ascii="Times New Roman"/>
          <w:b w:val="false"/>
          <w:i w:val="false"/>
          <w:color w:val="000000"/>
          <w:sz w:val="28"/>
        </w:rPr>
        <w:t>
</w:t>
      </w:r>
      <w:r>
        <w:rPr>
          <w:rFonts w:ascii="Times New Roman"/>
          <w:b w:val="false"/>
          <w:i w:val="false"/>
          <w:color w:val="000000"/>
          <w:vertAlign w:val="subscript"/>
        </w:rPr>
        <w:t xml:space="preserve">                      </w:t>
      </w:r>
      <w:r>
        <w:rPr>
          <w:rFonts w:ascii="Times New Roman"/>
          <w:b w:val="false"/>
          <w:i w:val="false"/>
          <w:color w:val="000000"/>
          <w:vertAlign w:val="superscript"/>
        </w:rPr>
        <w:t xml:space="preserve">  n=1 </w:t>
      </w:r>
      <w:r>
        <w:rPr>
          <w:rFonts w:ascii="Times New Roman"/>
          <w:b w:val="false"/>
          <w:i w:val="false"/>
          <w:color w:val="000000"/>
          <w:vertAlign w:val="subscript"/>
        </w:rPr>
        <w:t xml:space="preserve">                          </w:t>
      </w:r>
      <w:r>
        <w:rPr>
          <w:rFonts w:ascii="Times New Roman"/>
          <w:b w:val="false"/>
          <w:i w:val="false"/>
          <w:color w:val="000000"/>
          <w:sz w:val="28"/>
        </w:rPr>
        <w:t xml:space="preserve">(4) </w:t>
      </w:r>
      <w:r>
        <w:br/>
      </w:r>
      <w:r>
        <w:rPr>
          <w:rFonts w:ascii="Times New Roman"/>
          <w:b w:val="false"/>
          <w:i w:val="false"/>
          <w:color w:val="000000"/>
          <w:sz w:val="28"/>
        </w:rPr>
        <w:t xml:space="preserve">
     где Т </w:t>
      </w:r>
      <w:r>
        <w:rPr>
          <w:rFonts w:ascii="Times New Roman"/>
          <w:b w:val="false"/>
          <w:i w:val="false"/>
          <w:color w:val="000000"/>
          <w:vertAlign w:val="subscript"/>
        </w:rPr>
        <w:t xml:space="preserve">р </w:t>
      </w:r>
      <w:r>
        <w:rPr>
          <w:rFonts w:ascii="Times New Roman"/>
          <w:b w:val="false"/>
          <w:i w:val="false"/>
          <w:color w:val="000000"/>
          <w:sz w:val="28"/>
        </w:rPr>
        <w:t xml:space="preserve">- штатная продолжительность работы работника в течение года, ч. </w:t>
      </w:r>
    </w:p>
    <w:bookmarkStart w:name="z8"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Контроль облучения работников за счет </w:t>
      </w:r>
      <w:r>
        <w:br/>
      </w:r>
      <w:r>
        <w:rPr>
          <w:rFonts w:ascii="Times New Roman"/>
          <w:b w:val="false"/>
          <w:i w:val="false"/>
          <w:color w:val="000000"/>
          <w:sz w:val="28"/>
        </w:rPr>
        <w:t>
</w:t>
      </w:r>
      <w:r>
        <w:rPr>
          <w:rFonts w:ascii="Times New Roman"/>
          <w:b/>
          <w:i w:val="false"/>
          <w:color w:val="000000"/>
          <w:sz w:val="28"/>
        </w:rPr>
        <w:t xml:space="preserve">     ингаляционного поступления долго живущих природных </w:t>
      </w:r>
      <w:r>
        <w:br/>
      </w:r>
      <w:r>
        <w:rPr>
          <w:rFonts w:ascii="Times New Roman"/>
          <w:b w:val="false"/>
          <w:i w:val="false"/>
          <w:color w:val="000000"/>
          <w:sz w:val="28"/>
        </w:rPr>
        <w:t>
</w:t>
      </w:r>
      <w:r>
        <w:rPr>
          <w:rFonts w:ascii="Times New Roman"/>
          <w:b/>
          <w:i w:val="false"/>
          <w:color w:val="000000"/>
          <w:sz w:val="28"/>
        </w:rPr>
        <w:t xml:space="preserve">      радионуклидов с производственной пылью </w:t>
      </w:r>
      <w:r>
        <w:br/>
      </w:r>
      <w:r>
        <w:rPr>
          <w:rFonts w:ascii="Times New Roman"/>
          <w:b w:val="false"/>
          <w:i w:val="false"/>
          <w:color w:val="000000"/>
          <w:sz w:val="28"/>
        </w:rPr>
        <w:t>
 </w:t>
      </w:r>
      <w:r>
        <w:br/>
      </w:r>
      <w:r>
        <w:rPr>
          <w:rFonts w:ascii="Times New Roman"/>
          <w:b w:val="false"/>
          <w:i w:val="false"/>
          <w:color w:val="000000"/>
          <w:sz w:val="28"/>
        </w:rPr>
        <w:t xml:space="preserve">
     6. Доза внутреннего облучения за счет ингаляционного поступления природных радионуклидов (далее - ПРН) с производственной пылью определяется радионуклидным составом и удельной активностью пылящего материала и самой пыли, общей запыленностью воздуха производственной зоны и временем работы в конкретных условиях, применением средств индивидуальной защиты органов дыхания. Радионуклидный состав, удельная активность пыли и общая запыленность воздуха зависят от параметров технологических процессов, температурного режима работ, используемых химических реагентов, дисперсности и объема материала. </w:t>
      </w:r>
      <w:r>
        <w:br/>
      </w:r>
      <w:r>
        <w:rPr>
          <w:rFonts w:ascii="Times New Roman"/>
          <w:b w:val="false"/>
          <w:i w:val="false"/>
          <w:color w:val="000000"/>
          <w:sz w:val="28"/>
        </w:rPr>
        <w:t xml:space="preserve">
     7. Эффективная доза внутреннего облучения работника за счет ингаляционного поступления с производственной пылью одного радионуклида на одном постоянном рабочем месте определяется по формуле: </w:t>
      </w:r>
      <w:r>
        <w:br/>
      </w:r>
      <w:r>
        <w:rPr>
          <w:rFonts w:ascii="Times New Roman"/>
          <w:b w:val="false"/>
          <w:i w:val="false"/>
          <w:color w:val="000000"/>
          <w:sz w:val="28"/>
        </w:rPr>
        <w:t>
 </w:t>
      </w:r>
      <w:r>
        <w:br/>
      </w:r>
      <w:r>
        <w:rPr>
          <w:rFonts w:ascii="Times New Roman"/>
          <w:b w:val="false"/>
          <w:i w:val="false"/>
          <w:color w:val="000000"/>
          <w:sz w:val="28"/>
        </w:rPr>
        <w:t xml:space="preserve">
            Е </w:t>
      </w:r>
      <w:r>
        <w:rPr>
          <w:rFonts w:ascii="Times New Roman"/>
          <w:b w:val="false"/>
          <w:i w:val="false"/>
          <w:color w:val="000000"/>
          <w:vertAlign w:val="superscript"/>
        </w:rPr>
        <w:t xml:space="preserve">внутр. </w:t>
      </w:r>
      <w:r>
        <w:rPr>
          <w:rFonts w:ascii="Times New Roman"/>
          <w:b w:val="false"/>
          <w:i w:val="false"/>
          <w:color w:val="000000"/>
          <w:sz w:val="28"/>
        </w:rPr>
        <w:t xml:space="preserve">= k </w:t>
      </w:r>
      <w:r>
        <w:rPr>
          <w:rFonts w:ascii="Times New Roman"/>
          <w:b w:val="false"/>
          <w:i w:val="false"/>
          <w:color w:val="000000"/>
          <w:vertAlign w:val="subscript"/>
        </w:rPr>
        <w:t xml:space="preserve">d </w:t>
      </w:r>
      <w:r>
        <w:rPr>
          <w:rFonts w:ascii="Times New Roman"/>
          <w:b w:val="false"/>
          <w:i w:val="false"/>
          <w:color w:val="000000"/>
          <w:sz w:val="28"/>
        </w:rPr>
        <w:t xml:space="preserve">. C </w:t>
      </w:r>
      <w:r>
        <w:rPr>
          <w:rFonts w:ascii="Times New Roman"/>
          <w:b w:val="false"/>
          <w:i w:val="false"/>
          <w:color w:val="000000"/>
          <w:vertAlign w:val="subscript"/>
        </w:rPr>
        <w:t xml:space="preserve">n </w:t>
      </w:r>
      <w:r>
        <w:rPr>
          <w:rFonts w:ascii="Times New Roman"/>
          <w:b w:val="false"/>
          <w:i w:val="false"/>
          <w:color w:val="000000"/>
          <w:sz w:val="28"/>
        </w:rPr>
        <w:t xml:space="preserve">. f . V . Т, мЗв/год,        (5) </w:t>
      </w:r>
      <w:r>
        <w:br/>
      </w:r>
      <w:r>
        <w:rPr>
          <w:rFonts w:ascii="Times New Roman"/>
          <w:b w:val="false"/>
          <w:i w:val="false"/>
          <w:color w:val="000000"/>
          <w:sz w:val="28"/>
        </w:rPr>
        <w:t xml:space="preserve">
     где k </w:t>
      </w:r>
      <w:r>
        <w:rPr>
          <w:rFonts w:ascii="Times New Roman"/>
          <w:b w:val="false"/>
          <w:i w:val="false"/>
          <w:color w:val="000000"/>
          <w:vertAlign w:val="subscript"/>
        </w:rPr>
        <w:t xml:space="preserve">d </w:t>
      </w:r>
      <w:r>
        <w:rPr>
          <w:rFonts w:ascii="Times New Roman"/>
          <w:b w:val="false"/>
          <w:i w:val="false"/>
          <w:color w:val="000000"/>
          <w:sz w:val="28"/>
        </w:rPr>
        <w:t xml:space="preserve">- дозовый коэффициент (Зв/Бк), значения которого для основных радионуклидов рядов урана и тория приведены в приложении 2; </w:t>
      </w:r>
      <w:r>
        <w:br/>
      </w:r>
      <w:r>
        <w:rPr>
          <w:rFonts w:ascii="Times New Roman"/>
          <w:b w:val="false"/>
          <w:i w:val="false"/>
          <w:color w:val="000000"/>
          <w:sz w:val="28"/>
        </w:rPr>
        <w:t xml:space="preserve">
     С </w:t>
      </w:r>
      <w:r>
        <w:rPr>
          <w:rFonts w:ascii="Times New Roman"/>
          <w:b w:val="false"/>
          <w:i w:val="false"/>
          <w:color w:val="000000"/>
          <w:vertAlign w:val="subscript"/>
        </w:rPr>
        <w:t xml:space="preserve">n </w:t>
      </w:r>
      <w:r>
        <w:rPr>
          <w:rFonts w:ascii="Times New Roman"/>
          <w:b w:val="false"/>
          <w:i w:val="false"/>
          <w:color w:val="000000"/>
          <w:sz w:val="28"/>
        </w:rPr>
        <w:t xml:space="preserve">- удельная активность радионуклидов в производственной пыли, кБк/кг; </w:t>
      </w:r>
      <w:r>
        <w:br/>
      </w:r>
      <w:r>
        <w:rPr>
          <w:rFonts w:ascii="Times New Roman"/>
          <w:b w:val="false"/>
          <w:i w:val="false"/>
          <w:color w:val="000000"/>
          <w:sz w:val="28"/>
        </w:rPr>
        <w:t xml:space="preserve">
     f - средняя запыленность воздуха, мг/м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V - средняя скорость дыхания работающих, м </w:t>
      </w:r>
      <w:r>
        <w:rPr>
          <w:rFonts w:ascii="Times New Roman"/>
          <w:b w:val="false"/>
          <w:i w:val="false"/>
          <w:color w:val="000000"/>
          <w:vertAlign w:val="superscript"/>
        </w:rPr>
        <w:t xml:space="preserve">3 </w:t>
      </w:r>
      <w:r>
        <w:rPr>
          <w:rFonts w:ascii="Times New Roman"/>
          <w:b w:val="false"/>
          <w:i w:val="false"/>
          <w:color w:val="000000"/>
          <w:sz w:val="28"/>
        </w:rPr>
        <w:t xml:space="preserve">/ч; </w:t>
      </w:r>
      <w:r>
        <w:br/>
      </w:r>
      <w:r>
        <w:rPr>
          <w:rFonts w:ascii="Times New Roman"/>
          <w:b w:val="false"/>
          <w:i w:val="false"/>
          <w:color w:val="000000"/>
          <w:sz w:val="28"/>
        </w:rPr>
        <w:t xml:space="preserve">
     T - время нахождения в зоне запыленности в течение года, ч/год. </w:t>
      </w:r>
      <w:r>
        <w:br/>
      </w:r>
      <w:r>
        <w:rPr>
          <w:rFonts w:ascii="Times New Roman"/>
          <w:b w:val="false"/>
          <w:i w:val="false"/>
          <w:color w:val="000000"/>
          <w:sz w:val="28"/>
        </w:rPr>
        <w:t xml:space="preserve">
     Выражение (5) справедливо при оценке доз облучения в случае постоянных значений величин С </w:t>
      </w:r>
      <w:r>
        <w:rPr>
          <w:rFonts w:ascii="Times New Roman"/>
          <w:b w:val="false"/>
          <w:i w:val="false"/>
          <w:color w:val="000000"/>
          <w:vertAlign w:val="subscript"/>
        </w:rPr>
        <w:t xml:space="preserve">n </w:t>
      </w:r>
      <w:r>
        <w:rPr>
          <w:rFonts w:ascii="Times New Roman"/>
          <w:b w:val="false"/>
          <w:i w:val="false"/>
          <w:color w:val="000000"/>
          <w:sz w:val="28"/>
        </w:rPr>
        <w:t xml:space="preserve">, f и V. </w:t>
      </w:r>
      <w:r>
        <w:br/>
      </w:r>
      <w:r>
        <w:rPr>
          <w:rFonts w:ascii="Times New Roman"/>
          <w:b w:val="false"/>
          <w:i w:val="false"/>
          <w:color w:val="000000"/>
          <w:sz w:val="28"/>
        </w:rPr>
        <w:t xml:space="preserve">
     8. При переменных во времени значениях одного или нескольких параметров, необходимо разделить все время облучения на несколько периодов, внутри каждого, из которых параметры считаются постоянными. Дозы за каждый период оцениваются по формуле 5, с последующим суммированием по всем периодам облучения. </w:t>
      </w:r>
      <w:r>
        <w:br/>
      </w:r>
      <w:r>
        <w:rPr>
          <w:rFonts w:ascii="Times New Roman"/>
          <w:b w:val="false"/>
          <w:i w:val="false"/>
          <w:color w:val="000000"/>
          <w:sz w:val="28"/>
        </w:rPr>
        <w:t xml:space="preserve">
     9. При неизвестном типе соединения радионуклида в воздухе рабочей зоны или отсутствия радиоактивного равновесия для расчета доз внутреннего облучения следует принимать максимальные значения дозовых коэффициентов по приложению 2 настоящих санитарных правил. </w:t>
      </w:r>
      <w:r>
        <w:br/>
      </w:r>
      <w:r>
        <w:rPr>
          <w:rFonts w:ascii="Times New Roman"/>
          <w:b w:val="false"/>
          <w:i w:val="false"/>
          <w:color w:val="000000"/>
          <w:sz w:val="28"/>
        </w:rPr>
        <w:t xml:space="preserve">
     10. В случае, когда работники используют средства индивидуальной защиты органов дыхания, эффективные дозы внутреннего облучения за счет ингаляционного поступления долгоживущих природных радионуклидов с производственной пылью снижаются в n раз, если среднее значение коэффициента улавливания пыли (аэрозолей) составляет n (отн. ед.). </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3. Контроль облучения работников изотопами радона </w:t>
      </w:r>
      <w:r>
        <w:br/>
      </w:r>
      <w:r>
        <w:rPr>
          <w:rFonts w:ascii="Times New Roman"/>
          <w:b w:val="false"/>
          <w:i w:val="false"/>
          <w:color w:val="000000"/>
          <w:sz w:val="28"/>
        </w:rPr>
        <w:t>
</w:t>
      </w:r>
      <w:r>
        <w:rPr>
          <w:rFonts w:ascii="Times New Roman"/>
          <w:b/>
          <w:i w:val="false"/>
          <w:color w:val="000000"/>
          <w:sz w:val="28"/>
        </w:rPr>
        <w:t xml:space="preserve">     и их короткоживущими дочерними продуктами </w:t>
      </w:r>
    </w:p>
    <w:bookmarkEnd w:id="6"/>
    <w:p>
      <w:pPr>
        <w:spacing w:after="0"/>
        <w:ind w:left="0"/>
        <w:jc w:val="both"/>
      </w:pPr>
      <w:r>
        <w:rPr>
          <w:rFonts w:ascii="Times New Roman"/>
          <w:b w:val="false"/>
          <w:i w:val="false"/>
          <w:color w:val="000000"/>
          <w:sz w:val="28"/>
        </w:rPr>
        <w:t xml:space="preserve">     11. Изотопы радона и аэрозолей короткоживущих дочерних продуктов радона (ДПР) и торона (ДПТ) вносят заметный вклад в облучение работников на рабочих местах при незначительных объемах помещений и кратности воздухообмена, хранении или переработке больших масс материалов с повышенным содержанием природных радионуклидов. </w:t>
      </w:r>
      <w:r>
        <w:br/>
      </w:r>
      <w:r>
        <w:rPr>
          <w:rFonts w:ascii="Times New Roman"/>
          <w:b w:val="false"/>
          <w:i w:val="false"/>
          <w:color w:val="000000"/>
          <w:sz w:val="28"/>
        </w:rPr>
        <w:t xml:space="preserve">
     12. Доза внутреннего облучения за счет изотопов радона и аэрозолей ДПР и ДПТ, в воздухе, в предположении стандартного часового объема дыхания 1,2 м </w:t>
      </w:r>
      <w:r>
        <w:rPr>
          <w:rFonts w:ascii="Times New Roman"/>
          <w:b w:val="false"/>
          <w:i w:val="false"/>
          <w:color w:val="000000"/>
          <w:vertAlign w:val="superscript"/>
        </w:rPr>
        <w:t xml:space="preserve">3 </w:t>
      </w:r>
      <w:r>
        <w:rPr>
          <w:rFonts w:ascii="Times New Roman"/>
          <w:b w:val="false"/>
          <w:i w:val="false"/>
          <w:color w:val="000000"/>
          <w:sz w:val="28"/>
        </w:rPr>
        <w:t xml:space="preserve">/ч, определяется двумя параметрами, - временем экспозиции (дыхания) - t, ч, и средним за это время значением эквивалентной равновесной объемной активности (ЭРОА) изотопов радона в воздухе - C </w:t>
      </w:r>
      <w:r>
        <w:rPr>
          <w:rFonts w:ascii="Times New Roman"/>
          <w:b w:val="false"/>
          <w:i w:val="false"/>
          <w:color w:val="000000"/>
          <w:vertAlign w:val="subscript"/>
        </w:rPr>
        <w:t xml:space="preserve">egu </w:t>
      </w:r>
      <w:r>
        <w:rPr>
          <w:rFonts w:ascii="Times New Roman"/>
          <w:b w:val="false"/>
          <w:i w:val="false"/>
          <w:color w:val="000000"/>
          <w:sz w:val="28"/>
        </w:rPr>
        <w:t xml:space="preserve">, Бк/м </w:t>
      </w:r>
      <w:r>
        <w:rPr>
          <w:rFonts w:ascii="Times New Roman"/>
          <w:b w:val="false"/>
          <w:i w:val="false"/>
          <w:color w:val="000000"/>
          <w:vertAlign w:val="superscript"/>
        </w:rPr>
        <w:t xml:space="preserve">3 </w:t>
      </w:r>
      <w:r>
        <w:rPr>
          <w:rFonts w:ascii="Times New Roman"/>
          <w:b w:val="false"/>
          <w:i w:val="false"/>
          <w:color w:val="000000"/>
          <w:sz w:val="28"/>
        </w:rPr>
        <w:t xml:space="preserve">. Эффективная доза внутреннего облучения за счет изотопов радона определяется произведением ЭРОА изотопов радона на время, -(C </w:t>
      </w:r>
      <w:r>
        <w:rPr>
          <w:rFonts w:ascii="Times New Roman"/>
          <w:b w:val="false"/>
          <w:i w:val="false"/>
          <w:color w:val="000000"/>
          <w:vertAlign w:val="subscript"/>
        </w:rPr>
        <w:t xml:space="preserve">egu </w:t>
      </w:r>
      <w:r>
        <w:rPr>
          <w:rFonts w:ascii="Times New Roman"/>
          <w:b w:val="false"/>
          <w:i w:val="false"/>
          <w:color w:val="000000"/>
          <w:sz w:val="28"/>
        </w:rPr>
        <w:t xml:space="preserve">.t), которое обычно называют "экспозицией" (Бк . ч/м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13. В производственных условиях экспозиции изотопами радона в 1чБк/м </w:t>
      </w:r>
      <w:r>
        <w:rPr>
          <w:rFonts w:ascii="Times New Roman"/>
          <w:b w:val="false"/>
          <w:i w:val="false"/>
          <w:color w:val="000000"/>
          <w:vertAlign w:val="superscript"/>
        </w:rPr>
        <w:t xml:space="preserve">3 </w:t>
      </w:r>
      <w:r>
        <w:rPr>
          <w:rFonts w:ascii="Times New Roman"/>
          <w:b w:val="false"/>
          <w:i w:val="false"/>
          <w:color w:val="000000"/>
          <w:sz w:val="28"/>
        </w:rPr>
        <w:t xml:space="preserve">соответствует эффективная доза облучения, равная 0,78 . 10 </w:t>
      </w:r>
      <w:r>
        <w:rPr>
          <w:rFonts w:ascii="Times New Roman"/>
          <w:b w:val="false"/>
          <w:i w:val="false"/>
          <w:color w:val="000000"/>
          <w:vertAlign w:val="superscript"/>
        </w:rPr>
        <w:t xml:space="preserve">-5 </w:t>
      </w:r>
      <w:r>
        <w:rPr>
          <w:rFonts w:ascii="Times New Roman"/>
          <w:b w:val="false"/>
          <w:i w:val="false"/>
          <w:color w:val="000000"/>
          <w:sz w:val="28"/>
        </w:rPr>
        <w:t xml:space="preserve">м3в. </w:t>
      </w:r>
      <w:r>
        <w:br/>
      </w:r>
      <w:r>
        <w:rPr>
          <w:rFonts w:ascii="Times New Roman"/>
          <w:b w:val="false"/>
          <w:i w:val="false"/>
          <w:color w:val="000000"/>
          <w:sz w:val="28"/>
        </w:rPr>
        <w:t xml:space="preserve">
                                                             </w:t>
      </w:r>
      <w:r>
        <w:br/>
      </w:r>
      <w:r>
        <w:rPr>
          <w:rFonts w:ascii="Times New Roman"/>
          <w:b w:val="false"/>
          <w:i w:val="false"/>
          <w:color w:val="000000"/>
          <w:sz w:val="28"/>
        </w:rPr>
        <w:t xml:space="preserve">
     Если известно среднее значение ЭРОА изотопов радона в </w:t>
      </w:r>
      <w:r>
        <w:br/>
      </w:r>
      <w:r>
        <w:rPr>
          <w:rFonts w:ascii="Times New Roman"/>
          <w:b w:val="false"/>
          <w:i w:val="false"/>
          <w:color w:val="000000"/>
          <w:sz w:val="28"/>
        </w:rPr>
        <w:t xml:space="preserve">
        __ </w:t>
      </w:r>
      <w:r>
        <w:br/>
      </w:r>
      <w:r>
        <w:rPr>
          <w:rFonts w:ascii="Times New Roman"/>
          <w:b w:val="false"/>
          <w:i w:val="false"/>
          <w:color w:val="000000"/>
          <w:sz w:val="28"/>
        </w:rPr>
        <w:t xml:space="preserve">
        \ </w:t>
      </w:r>
      <w:r>
        <w:br/>
      </w:r>
      <w:r>
        <w:rPr>
          <w:rFonts w:ascii="Times New Roman"/>
          <w:b w:val="false"/>
          <w:i w:val="false"/>
          <w:color w:val="000000"/>
          <w:sz w:val="28"/>
        </w:rPr>
        <w:t xml:space="preserve">
        </w:t>
      </w:r>
      <w:r>
        <w:rPr>
          <w:rFonts w:ascii="Times New Roman"/>
          <w:b w:val="false"/>
          <w:i w:val="false"/>
          <w:color w:val="000000"/>
          <w:sz w:val="28"/>
          <w:u w:val="single"/>
        </w:rPr>
        <w:t xml:space="preserve">/ </w:t>
      </w:r>
      <w:r>
        <w:br/>
      </w:r>
      <w:r>
        <w:rPr>
          <w:rFonts w:ascii="Times New Roman"/>
          <w:b w:val="false"/>
          <w:i w:val="false"/>
          <w:color w:val="000000"/>
          <w:sz w:val="28"/>
        </w:rPr>
        <w:t xml:space="preserve">
воздухе C </w:t>
      </w:r>
      <w:r>
        <w:rPr>
          <w:rFonts w:ascii="Times New Roman"/>
          <w:b w:val="false"/>
          <w:i w:val="false"/>
          <w:color w:val="000000"/>
          <w:vertAlign w:val="subscript"/>
        </w:rPr>
        <w:t xml:space="preserve">egu </w:t>
      </w:r>
      <w:r>
        <w:rPr>
          <w:rFonts w:ascii="Times New Roman"/>
          <w:b w:val="false"/>
          <w:i w:val="false"/>
          <w:color w:val="000000"/>
          <w:sz w:val="28"/>
        </w:rPr>
        <w:t xml:space="preserve">, и время работы - t, то эффективная доза облучения </w:t>
      </w:r>
      <w:r>
        <w:br/>
      </w:r>
      <w:r>
        <w:rPr>
          <w:rFonts w:ascii="Times New Roman"/>
          <w:b w:val="false"/>
          <w:i w:val="false"/>
          <w:color w:val="000000"/>
          <w:sz w:val="28"/>
        </w:rPr>
        <w:t>
 </w:t>
      </w:r>
      <w:r>
        <w:br/>
      </w:r>
      <w:r>
        <w:rPr>
          <w:rFonts w:ascii="Times New Roman"/>
          <w:b w:val="false"/>
          <w:i w:val="false"/>
          <w:color w:val="000000"/>
          <w:sz w:val="28"/>
        </w:rPr>
        <w:t xml:space="preserve">
рассчитывается по формуле: </w:t>
      </w:r>
      <w:r>
        <w:br/>
      </w:r>
      <w:r>
        <w:rPr>
          <w:rFonts w:ascii="Times New Roman"/>
          <w:b w:val="false"/>
          <w:i w:val="false"/>
          <w:color w:val="000000"/>
          <w:sz w:val="28"/>
        </w:rPr>
        <w:t>
 </w:t>
      </w:r>
      <w:r>
        <w:br/>
      </w:r>
      <w:r>
        <w:rPr>
          <w:rFonts w:ascii="Times New Roman"/>
          <w:b w:val="false"/>
          <w:i w:val="false"/>
          <w:color w:val="000000"/>
          <w:sz w:val="28"/>
        </w:rPr>
        <w:t xml:space="preserve">
                     __ </w:t>
      </w:r>
      <w:r>
        <w:br/>
      </w:r>
      <w:r>
        <w:rPr>
          <w:rFonts w:ascii="Times New Roman"/>
          <w:b w:val="false"/>
          <w:i w:val="false"/>
          <w:color w:val="000000"/>
          <w:sz w:val="28"/>
        </w:rPr>
        <w:t xml:space="preserve">
                     \ </w:t>
      </w:r>
      <w:r>
        <w:br/>
      </w:r>
      <w:r>
        <w:rPr>
          <w:rFonts w:ascii="Times New Roman"/>
          <w:b w:val="false"/>
          <w:i w:val="false"/>
          <w:color w:val="000000"/>
          <w:sz w:val="28"/>
        </w:rPr>
        <w:t xml:space="preserve">
           _          </w:t>
      </w:r>
      <w:r>
        <w:rPr>
          <w:rFonts w:ascii="Times New Roman"/>
          <w:b w:val="false"/>
          <w:i w:val="false"/>
          <w:color w:val="000000"/>
          <w:sz w:val="28"/>
          <w:u w:val="single"/>
        </w:rPr>
        <w:t xml:space="preserve">/ </w:t>
      </w:r>
      <w:r>
        <w:br/>
      </w:r>
      <w:r>
        <w:rPr>
          <w:rFonts w:ascii="Times New Roman"/>
          <w:b w:val="false"/>
          <w:i w:val="false"/>
          <w:color w:val="000000"/>
          <w:sz w:val="28"/>
        </w:rPr>
        <w:t xml:space="preserve">
           E </w:t>
      </w:r>
      <w:r>
        <w:rPr>
          <w:rFonts w:ascii="Times New Roman"/>
          <w:b w:val="false"/>
          <w:i w:val="false"/>
          <w:color w:val="000000"/>
          <w:vertAlign w:val="superscript"/>
        </w:rPr>
        <w:t xml:space="preserve">Rn </w:t>
      </w:r>
      <w:r>
        <w:rPr>
          <w:rFonts w:ascii="Times New Roman"/>
          <w:b w:val="false"/>
          <w:i w:val="false"/>
          <w:color w:val="000000"/>
          <w:sz w:val="28"/>
        </w:rPr>
        <w:t xml:space="preserve">= d. C </w:t>
      </w:r>
      <w:r>
        <w:rPr>
          <w:rFonts w:ascii="Times New Roman"/>
          <w:b w:val="false"/>
          <w:i w:val="false"/>
          <w:color w:val="000000"/>
          <w:vertAlign w:val="subscript"/>
        </w:rPr>
        <w:t xml:space="preserve">egu </w:t>
      </w:r>
      <w:r>
        <w:rPr>
          <w:rFonts w:ascii="Times New Roman"/>
          <w:b w:val="false"/>
          <w:i w:val="false"/>
          <w:color w:val="000000"/>
          <w:sz w:val="28"/>
        </w:rPr>
        <w:t xml:space="preserve">.t, мЗв,                     (6) </w:t>
      </w:r>
      <w:r>
        <w:br/>
      </w:r>
      <w:r>
        <w:rPr>
          <w:rFonts w:ascii="Times New Roman"/>
          <w:b w:val="false"/>
          <w:i w:val="false"/>
          <w:color w:val="000000"/>
          <w:sz w:val="28"/>
        </w:rPr>
        <w:t>
 </w:t>
      </w:r>
      <w:r>
        <w:br/>
      </w:r>
      <w:r>
        <w:rPr>
          <w:rFonts w:ascii="Times New Roman"/>
          <w:b w:val="false"/>
          <w:i w:val="false"/>
          <w:color w:val="000000"/>
          <w:sz w:val="28"/>
        </w:rPr>
        <w:t xml:space="preserve">
      где значение дозового коэффициента d = 0,78 . 10 </w:t>
      </w:r>
      <w:r>
        <w:rPr>
          <w:rFonts w:ascii="Times New Roman"/>
          <w:b w:val="false"/>
          <w:i w:val="false"/>
          <w:color w:val="000000"/>
          <w:vertAlign w:val="superscript"/>
        </w:rPr>
        <w:t xml:space="preserve">-5 </w:t>
      </w:r>
      <w:r>
        <w:rPr>
          <w:rFonts w:ascii="Times New Roman"/>
          <w:b w:val="false"/>
          <w:i w:val="false"/>
          <w:color w:val="000000"/>
          <w:sz w:val="28"/>
        </w:rPr>
        <w:t xml:space="preserve">мЗв/(чБк/м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а ЭРОА изотопов радона </w:t>
      </w:r>
      <w:r>
        <w:br/>
      </w:r>
      <w:r>
        <w:rPr>
          <w:rFonts w:ascii="Times New Roman"/>
          <w:b w:val="false"/>
          <w:i w:val="false"/>
          <w:color w:val="000000"/>
          <w:sz w:val="28"/>
        </w:rPr>
        <w:t xml:space="preserve">
 __ </w:t>
      </w:r>
      <w:r>
        <w:br/>
      </w:r>
      <w:r>
        <w:rPr>
          <w:rFonts w:ascii="Times New Roman"/>
          <w:b w:val="false"/>
          <w:i w:val="false"/>
          <w:color w:val="000000"/>
          <w:sz w:val="28"/>
        </w:rPr>
        <w:t xml:space="preserve">
 \ </w:t>
      </w:r>
      <w:r>
        <w:br/>
      </w:r>
      <w:r>
        <w:rPr>
          <w:rFonts w:ascii="Times New Roman"/>
          <w:b w:val="false"/>
          <w:i w:val="false"/>
          <w:color w:val="000000"/>
          <w:sz w:val="28"/>
        </w:rPr>
        <w:t xml:space="preserve">
_ </w:t>
      </w:r>
      <w:r>
        <w:rPr>
          <w:rFonts w:ascii="Times New Roman"/>
          <w:b w:val="false"/>
          <w:i w:val="false"/>
          <w:color w:val="000000"/>
          <w:sz w:val="28"/>
          <w:u w:val="single"/>
        </w:rPr>
        <w:t xml:space="preserve">/ </w:t>
      </w:r>
      <w:r>
        <w:br/>
      </w:r>
      <w:r>
        <w:rPr>
          <w:rFonts w:ascii="Times New Roman"/>
          <w:b w:val="false"/>
          <w:i w:val="false"/>
          <w:color w:val="000000"/>
          <w:sz w:val="28"/>
        </w:rPr>
        <w:t xml:space="preserve">
С </w:t>
      </w:r>
      <w:r>
        <w:rPr>
          <w:rFonts w:ascii="Times New Roman"/>
          <w:b w:val="false"/>
          <w:i w:val="false"/>
          <w:color w:val="000000"/>
          <w:vertAlign w:val="subscript"/>
        </w:rPr>
        <w:t xml:space="preserve">egu   </w:t>
      </w:r>
      <w:r>
        <w:rPr>
          <w:rFonts w:ascii="Times New Roman"/>
          <w:b w:val="false"/>
          <w:i w:val="false"/>
          <w:color w:val="000000"/>
          <w:sz w:val="28"/>
        </w:rPr>
        <w:t xml:space="preserve">рассчитывается по формуле: </w:t>
      </w:r>
      <w:r>
        <w:br/>
      </w:r>
      <w:r>
        <w:rPr>
          <w:rFonts w:ascii="Times New Roman"/>
          <w:b w:val="false"/>
          <w:i w:val="false"/>
          <w:color w:val="000000"/>
          <w:sz w:val="28"/>
        </w:rPr>
        <w:t>
 </w:t>
      </w:r>
      <w:r>
        <w:br/>
      </w:r>
      <w:r>
        <w:rPr>
          <w:rFonts w:ascii="Times New Roman"/>
          <w:b w:val="false"/>
          <w:i w:val="false"/>
          <w:color w:val="000000"/>
          <w:sz w:val="28"/>
        </w:rPr>
        <w:t xml:space="preserve">
               __ </w:t>
      </w:r>
      <w:r>
        <w:br/>
      </w:r>
      <w:r>
        <w:rPr>
          <w:rFonts w:ascii="Times New Roman"/>
          <w:b w:val="false"/>
          <w:i w:val="false"/>
          <w:color w:val="000000"/>
          <w:sz w:val="28"/>
        </w:rPr>
        <w:t xml:space="preserve">
               \ </w:t>
      </w:r>
      <w:r>
        <w:br/>
      </w:r>
      <w:r>
        <w:rPr>
          <w:rFonts w:ascii="Times New Roman"/>
          <w:b w:val="false"/>
          <w:i w:val="false"/>
          <w:color w:val="000000"/>
          <w:sz w:val="28"/>
        </w:rPr>
        <w:t xml:space="preserve">
             _ </w:t>
      </w:r>
      <w:r>
        <w:rPr>
          <w:rFonts w:ascii="Times New Roman"/>
          <w:b w:val="false"/>
          <w:i w:val="false"/>
          <w:color w:val="000000"/>
          <w:sz w:val="28"/>
          <w:u w:val="single"/>
        </w:rPr>
        <w:t xml:space="preserve">/ </w:t>
      </w:r>
      <w:r>
        <w:rPr>
          <w:rFonts w:ascii="Times New Roman"/>
          <w:b w:val="false"/>
          <w:i w:val="false"/>
          <w:color w:val="000000"/>
          <w:sz w:val="28"/>
        </w:rPr>
        <w:t xml:space="preserve">  _              _ </w:t>
      </w:r>
      <w:r>
        <w:br/>
      </w:r>
      <w:r>
        <w:rPr>
          <w:rFonts w:ascii="Times New Roman"/>
          <w:b w:val="false"/>
          <w:i w:val="false"/>
          <w:color w:val="000000"/>
          <w:sz w:val="28"/>
        </w:rPr>
        <w:t xml:space="preserve">
             С </w:t>
      </w:r>
      <w:r>
        <w:rPr>
          <w:rFonts w:ascii="Times New Roman"/>
          <w:b w:val="false"/>
          <w:i w:val="false"/>
          <w:color w:val="000000"/>
          <w:vertAlign w:val="subscript"/>
        </w:rPr>
        <w:t xml:space="preserve">egu </w:t>
      </w:r>
      <w:r>
        <w:rPr>
          <w:rFonts w:ascii="Times New Roman"/>
          <w:b w:val="false"/>
          <w:i w:val="false"/>
          <w:color w:val="000000"/>
          <w:sz w:val="28"/>
        </w:rPr>
        <w:t xml:space="preserve">= C </w:t>
      </w:r>
      <w:r>
        <w:rPr>
          <w:rFonts w:ascii="Times New Roman"/>
          <w:b w:val="false"/>
          <w:i w:val="false"/>
          <w:color w:val="000000"/>
          <w:vertAlign w:val="subscript"/>
        </w:rPr>
        <w:t xml:space="preserve">egu </w:t>
      </w:r>
      <w:r>
        <w:rPr>
          <w:rFonts w:ascii="Times New Roman"/>
          <w:b w:val="false"/>
          <w:i w:val="false"/>
          <w:color w:val="000000"/>
          <w:sz w:val="28"/>
        </w:rPr>
        <w:t xml:space="preserve">(Rn) + 4,6 . С </w:t>
      </w:r>
      <w:r>
        <w:rPr>
          <w:rFonts w:ascii="Times New Roman"/>
          <w:b w:val="false"/>
          <w:i w:val="false"/>
          <w:color w:val="000000"/>
          <w:vertAlign w:val="subscript"/>
        </w:rPr>
        <w:t xml:space="preserve">egu </w:t>
      </w:r>
      <w:r>
        <w:rPr>
          <w:rFonts w:ascii="Times New Roman"/>
          <w:b w:val="false"/>
          <w:i w:val="false"/>
          <w:color w:val="000000"/>
          <w:sz w:val="28"/>
        </w:rPr>
        <w:t xml:space="preserve">(Tn),         (7) </w:t>
      </w:r>
    </w:p>
    <w:p>
      <w:pPr>
        <w:spacing w:after="0"/>
        <w:ind w:left="0"/>
        <w:jc w:val="both"/>
      </w:pPr>
      <w:r>
        <w:rPr>
          <w:rFonts w:ascii="Times New Roman"/>
          <w:b w:val="false"/>
          <w:i w:val="false"/>
          <w:color w:val="000000"/>
          <w:sz w:val="28"/>
        </w:rPr>
        <w:t xml:space="preserve">               _         _ </w:t>
      </w:r>
      <w:r>
        <w:br/>
      </w:r>
      <w:r>
        <w:rPr>
          <w:rFonts w:ascii="Times New Roman"/>
          <w:b w:val="false"/>
          <w:i w:val="false"/>
          <w:color w:val="000000"/>
          <w:sz w:val="28"/>
        </w:rPr>
        <w:t xml:space="preserve">
     в которой С </w:t>
      </w:r>
      <w:r>
        <w:rPr>
          <w:rFonts w:ascii="Times New Roman"/>
          <w:b w:val="false"/>
          <w:i w:val="false"/>
          <w:color w:val="000000"/>
          <w:vertAlign w:val="subscript"/>
        </w:rPr>
        <w:t xml:space="preserve">egu </w:t>
      </w:r>
      <w:r>
        <w:rPr>
          <w:rFonts w:ascii="Times New Roman"/>
          <w:b w:val="false"/>
          <w:i w:val="false"/>
          <w:color w:val="000000"/>
          <w:sz w:val="28"/>
        </w:rPr>
        <w:t xml:space="preserve">(Rn) и С </w:t>
      </w:r>
      <w:r>
        <w:rPr>
          <w:rFonts w:ascii="Times New Roman"/>
          <w:b w:val="false"/>
          <w:i w:val="false"/>
          <w:color w:val="000000"/>
          <w:vertAlign w:val="subscript"/>
        </w:rPr>
        <w:t xml:space="preserve">egu </w:t>
      </w:r>
      <w:r>
        <w:rPr>
          <w:rFonts w:ascii="Times New Roman"/>
          <w:b w:val="false"/>
          <w:i w:val="false"/>
          <w:color w:val="000000"/>
          <w:sz w:val="28"/>
        </w:rPr>
        <w:t xml:space="preserve">(Tn) - среднее за время t значение ЭРОА радона и торона соответственно. </w:t>
      </w:r>
      <w:r>
        <w:br/>
      </w:r>
      <w:r>
        <w:rPr>
          <w:rFonts w:ascii="Times New Roman"/>
          <w:b w:val="false"/>
          <w:i w:val="false"/>
          <w:color w:val="000000"/>
          <w:sz w:val="28"/>
        </w:rPr>
        <w:t xml:space="preserve">
     Для работников производственных организаций при времени работы 2000 ч в год значение d = 1,56 . 10 </w:t>
      </w:r>
      <w:r>
        <w:rPr>
          <w:rFonts w:ascii="Times New Roman"/>
          <w:b w:val="false"/>
          <w:i w:val="false"/>
          <w:color w:val="000000"/>
          <w:vertAlign w:val="superscript"/>
        </w:rPr>
        <w:t xml:space="preserve">-2 </w:t>
      </w:r>
      <w:r>
        <w:rPr>
          <w:rFonts w:ascii="Times New Roman"/>
          <w:b w:val="false"/>
          <w:i w:val="false"/>
          <w:color w:val="000000"/>
          <w:sz w:val="28"/>
        </w:rPr>
        <w:t xml:space="preserve">мЗв/(Бк/м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14. Годовая эффективная доза производственного облучения работников (Е </w:t>
      </w:r>
      <w:r>
        <w:rPr>
          <w:rFonts w:ascii="Times New Roman"/>
          <w:b w:val="false"/>
          <w:i w:val="false"/>
          <w:color w:val="000000"/>
          <w:vertAlign w:val="subscript"/>
        </w:rPr>
        <w:t xml:space="preserve">пр </w:t>
      </w:r>
      <w:r>
        <w:rPr>
          <w:rFonts w:ascii="Times New Roman"/>
          <w:b w:val="false"/>
          <w:i w:val="false"/>
          <w:color w:val="000000"/>
          <w:sz w:val="28"/>
        </w:rPr>
        <w:t xml:space="preserve">) равна сумме доз внешнего (Е </w:t>
      </w:r>
      <w:r>
        <w:rPr>
          <w:rFonts w:ascii="Times New Roman"/>
          <w:b w:val="false"/>
          <w:i w:val="false"/>
          <w:color w:val="000000"/>
          <w:vertAlign w:val="subscript"/>
        </w:rPr>
        <w:t xml:space="preserve">1 </w:t>
      </w:r>
      <w:r>
        <w:rPr>
          <w:rFonts w:ascii="Times New Roman"/>
          <w:b w:val="false"/>
          <w:i w:val="false"/>
          <w:color w:val="000000"/>
          <w:vertAlign w:val="superscript"/>
        </w:rPr>
        <w:t xml:space="preserve">внешн. </w:t>
      </w:r>
      <w:r>
        <w:rPr>
          <w:rFonts w:ascii="Times New Roman"/>
          <w:b w:val="false"/>
          <w:i w:val="false"/>
          <w:color w:val="000000"/>
          <w:sz w:val="28"/>
        </w:rPr>
        <w:t xml:space="preserve">) и внутреннего </w:t>
      </w:r>
      <w:r>
        <w:br/>
      </w:r>
      <w:r>
        <w:rPr>
          <w:rFonts w:ascii="Times New Roman"/>
          <w:b w:val="false"/>
          <w:i w:val="false"/>
          <w:color w:val="000000"/>
          <w:sz w:val="28"/>
        </w:rPr>
        <w:t xml:space="preserve">
(Е </w:t>
      </w:r>
      <w:r>
        <w:rPr>
          <w:rFonts w:ascii="Times New Roman"/>
          <w:b w:val="false"/>
          <w:i w:val="false"/>
          <w:color w:val="000000"/>
          <w:vertAlign w:val="subscript"/>
        </w:rPr>
        <w:t xml:space="preserve">1 </w:t>
      </w:r>
      <w:r>
        <w:rPr>
          <w:rFonts w:ascii="Times New Roman"/>
          <w:b w:val="false"/>
          <w:i w:val="false"/>
          <w:color w:val="000000"/>
          <w:vertAlign w:val="superscript"/>
        </w:rPr>
        <w:t xml:space="preserve">внутр. </w:t>
      </w:r>
      <w:r>
        <w:rPr>
          <w:rFonts w:ascii="Times New Roman"/>
          <w:b w:val="false"/>
          <w:i w:val="false"/>
          <w:color w:val="000000"/>
          <w:sz w:val="28"/>
        </w:rPr>
        <w:t xml:space="preserve">+ Е </w:t>
      </w:r>
      <w:r>
        <w:rPr>
          <w:rFonts w:ascii="Times New Roman"/>
          <w:b w:val="false"/>
          <w:i w:val="false"/>
          <w:color w:val="000000"/>
          <w:vertAlign w:val="superscript"/>
        </w:rPr>
        <w:t xml:space="preserve">rn </w:t>
      </w:r>
      <w:r>
        <w:rPr>
          <w:rFonts w:ascii="Times New Roman"/>
          <w:b w:val="false"/>
          <w:i w:val="false"/>
          <w:color w:val="000000"/>
          <w:sz w:val="28"/>
        </w:rPr>
        <w:t xml:space="preserve">) облучения: </w:t>
      </w:r>
      <w:r>
        <w:br/>
      </w:r>
      <w:r>
        <w:rPr>
          <w:rFonts w:ascii="Times New Roman"/>
          <w:b w:val="false"/>
          <w:i w:val="false"/>
          <w:color w:val="000000"/>
          <w:sz w:val="28"/>
        </w:rPr>
        <w:t xml:space="preserve">
          Е </w:t>
      </w:r>
      <w:r>
        <w:rPr>
          <w:rFonts w:ascii="Times New Roman"/>
          <w:b w:val="false"/>
          <w:i w:val="false"/>
          <w:color w:val="000000"/>
          <w:vertAlign w:val="subscript"/>
        </w:rPr>
        <w:t xml:space="preserve">пр </w:t>
      </w:r>
      <w:r>
        <w:rPr>
          <w:rFonts w:ascii="Times New Roman"/>
          <w:b w:val="false"/>
          <w:i w:val="false"/>
          <w:color w:val="000000"/>
          <w:sz w:val="28"/>
        </w:rPr>
        <w:t xml:space="preserve">= Е </w:t>
      </w:r>
      <w:r>
        <w:rPr>
          <w:rFonts w:ascii="Times New Roman"/>
          <w:b w:val="false"/>
          <w:i w:val="false"/>
          <w:color w:val="000000"/>
          <w:vertAlign w:val="subscript"/>
        </w:rPr>
        <w:t xml:space="preserve">1 </w:t>
      </w:r>
      <w:r>
        <w:rPr>
          <w:rFonts w:ascii="Times New Roman"/>
          <w:b w:val="false"/>
          <w:i w:val="false"/>
          <w:color w:val="000000"/>
          <w:vertAlign w:val="superscript"/>
        </w:rPr>
        <w:t xml:space="preserve">внешн. </w:t>
      </w:r>
      <w:r>
        <w:rPr>
          <w:rFonts w:ascii="Times New Roman"/>
          <w:b w:val="false"/>
          <w:i w:val="false"/>
          <w:color w:val="000000"/>
          <w:sz w:val="28"/>
        </w:rPr>
        <w:t xml:space="preserve">+ Е </w:t>
      </w:r>
      <w:r>
        <w:rPr>
          <w:rFonts w:ascii="Times New Roman"/>
          <w:b w:val="false"/>
          <w:i w:val="false"/>
          <w:color w:val="000000"/>
          <w:vertAlign w:val="subscript"/>
        </w:rPr>
        <w:t xml:space="preserve">1 </w:t>
      </w:r>
      <w:r>
        <w:rPr>
          <w:rFonts w:ascii="Times New Roman"/>
          <w:b w:val="false"/>
          <w:i w:val="false"/>
          <w:color w:val="000000"/>
          <w:vertAlign w:val="superscript"/>
        </w:rPr>
        <w:t xml:space="preserve">внутр. </w:t>
      </w:r>
      <w:r>
        <w:rPr>
          <w:rFonts w:ascii="Times New Roman"/>
          <w:b w:val="false"/>
          <w:i w:val="false"/>
          <w:color w:val="000000"/>
          <w:sz w:val="28"/>
        </w:rPr>
        <w:t xml:space="preserve">+ Е </w:t>
      </w:r>
      <w:r>
        <w:rPr>
          <w:rFonts w:ascii="Times New Roman"/>
          <w:b w:val="false"/>
          <w:i w:val="false"/>
          <w:color w:val="000000"/>
          <w:vertAlign w:val="superscript"/>
        </w:rPr>
        <w:t xml:space="preserve">rn </w:t>
      </w:r>
      <w:r>
        <w:rPr>
          <w:rFonts w:ascii="Times New Roman"/>
          <w:b w:val="false"/>
          <w:i w:val="false"/>
          <w:color w:val="000000"/>
          <w:sz w:val="28"/>
        </w:rPr>
        <w:t xml:space="preserve">               (8)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по обеспечению </w:t>
      </w:r>
      <w:r>
        <w:br/>
      </w:r>
      <w:r>
        <w:rPr>
          <w:rFonts w:ascii="Times New Roman"/>
          <w:b w:val="false"/>
          <w:i w:val="false"/>
          <w:color w:val="000000"/>
          <w:sz w:val="28"/>
        </w:rPr>
        <w:t xml:space="preserve">
радиационной безопасности </w:t>
      </w:r>
      <w:r>
        <w:br/>
      </w:r>
      <w:r>
        <w:rPr>
          <w:rFonts w:ascii="Times New Roman"/>
          <w:b w:val="false"/>
          <w:i w:val="false"/>
          <w:color w:val="000000"/>
          <w:sz w:val="28"/>
        </w:rPr>
        <w:t xml:space="preserve">
объектов нефтегазового   </w:t>
      </w:r>
      <w:r>
        <w:br/>
      </w:r>
      <w:r>
        <w:rPr>
          <w:rFonts w:ascii="Times New Roman"/>
          <w:b w:val="false"/>
          <w:i w:val="false"/>
          <w:color w:val="000000"/>
          <w:sz w:val="28"/>
        </w:rPr>
        <w:t xml:space="preserve">
комплекса"         </w:t>
      </w:r>
    </w:p>
    <w:bookmarkEnd w:id="7"/>
    <w:p>
      <w:pPr>
        <w:spacing w:after="0"/>
        <w:ind w:left="0"/>
        <w:jc w:val="left"/>
      </w:pPr>
      <w:r>
        <w:rPr>
          <w:rFonts w:ascii="Times New Roman"/>
          <w:b/>
          <w:i w:val="false"/>
          <w:color w:val="000000"/>
        </w:rPr>
        <w:t xml:space="preserve"> Значения дозовых коэффициентов при ингаляционном </w:t>
      </w:r>
      <w:r>
        <w:br/>
      </w:r>
      <w:r>
        <w:rPr>
          <w:rFonts w:ascii="Times New Roman"/>
          <w:b/>
          <w:i w:val="false"/>
          <w:color w:val="000000"/>
        </w:rPr>
        <w:t xml:space="preserve">
поступлении радионуклидов рядов </w:t>
      </w:r>
      <w:r>
        <w:rPr>
          <w:rFonts w:ascii="Times New Roman"/>
          <w:b/>
          <w:i w:val="false"/>
          <w:color w:val="000000"/>
          <w:vertAlign w:val="superscript"/>
        </w:rPr>
        <w:t xml:space="preserve">238 </w:t>
      </w:r>
      <w:r>
        <w:rPr>
          <w:rFonts w:ascii="Times New Roman"/>
          <w:b/>
          <w:i w:val="false"/>
          <w:color w:val="000000"/>
        </w:rPr>
        <w:t xml:space="preserve">U и </w:t>
      </w:r>
      <w:r>
        <w:rPr>
          <w:rFonts w:ascii="Times New Roman"/>
          <w:b/>
          <w:i w:val="false"/>
          <w:color w:val="000000"/>
          <w:vertAlign w:val="superscript"/>
        </w:rPr>
        <w:t xml:space="preserve">232 </w:t>
      </w:r>
      <w:r>
        <w:rPr>
          <w:rFonts w:ascii="Times New Roman"/>
          <w:b/>
          <w:i w:val="false"/>
          <w:color w:val="000000"/>
        </w:rPr>
        <w:t xml:space="preserve">Th </w:t>
      </w:r>
      <w:r>
        <w:br/>
      </w:r>
      <w:r>
        <w:rPr>
          <w:rFonts w:ascii="Times New Roman"/>
          <w:b/>
          <w:i w:val="false"/>
          <w:color w:val="000000"/>
        </w:rPr>
        <w:t xml:space="preserve">
с производственной пылью </w:t>
      </w:r>
    </w:p>
    <w:p>
      <w:pPr>
        <w:spacing w:after="0"/>
        <w:ind w:left="0"/>
        <w:jc w:val="both"/>
      </w:pPr>
      <w:r>
        <w:rPr>
          <w:rFonts w:ascii="Times New Roman"/>
          <w:b w:val="false"/>
          <w:i w:val="false"/>
          <w:color w:val="000000"/>
          <w:sz w:val="28"/>
        </w:rPr>
        <w:t xml:space="preserve">        Дозовые коэффициенты для радионуклидов ряда </w:t>
      </w:r>
      <w:r>
        <w:rPr>
          <w:rFonts w:ascii="Times New Roman"/>
          <w:b w:val="false"/>
          <w:i w:val="false"/>
          <w:color w:val="000000"/>
          <w:vertAlign w:val="superscript"/>
        </w:rPr>
        <w:t xml:space="preserve">238 </w:t>
      </w:r>
      <w:r>
        <w:rPr>
          <w:rFonts w:ascii="Times New Roman"/>
          <w:b w:val="false"/>
          <w:i w:val="false"/>
          <w:color w:val="000000"/>
          <w:sz w:val="28"/>
        </w:rPr>
        <w:t xml:space="preserve">U </w:t>
      </w:r>
      <w:r>
        <w:br/>
      </w:r>
      <w:r>
        <w:rPr>
          <w:rFonts w:ascii="Times New Roman"/>
          <w:b w:val="false"/>
          <w:i w:val="false"/>
          <w:color w:val="000000"/>
          <w:sz w:val="28"/>
        </w:rPr>
        <w:t xml:space="preserve">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2253"/>
        <w:gridCol w:w="1693"/>
        <w:gridCol w:w="3373"/>
        <w:gridCol w:w="3373"/>
      </w:tblGrid>
      <w:tr>
        <w:trPr>
          <w:trHeight w:val="645"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 </w:t>
            </w:r>
            <w:r>
              <w:br/>
            </w:r>
            <w:r>
              <w:rPr>
                <w:rFonts w:ascii="Times New Roman"/>
                <w:b w:val="false"/>
                <w:i w:val="false"/>
                <w:color w:val="000000"/>
                <w:sz w:val="20"/>
              </w:rPr>
              <w:t xml:space="preserve">
нуклид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w:t>
            </w:r>
            <w:r>
              <w:br/>
            </w:r>
            <w:r>
              <w:rPr>
                <w:rFonts w:ascii="Times New Roman"/>
                <w:b w:val="false"/>
                <w:i w:val="false"/>
                <w:color w:val="000000"/>
                <w:sz w:val="20"/>
              </w:rPr>
              <w:t xml:space="preserve">
полурас- </w:t>
            </w:r>
            <w:r>
              <w:br/>
            </w:r>
            <w:r>
              <w:rPr>
                <w:rFonts w:ascii="Times New Roman"/>
                <w:b w:val="false"/>
                <w:i w:val="false"/>
                <w:color w:val="000000"/>
                <w:sz w:val="20"/>
              </w:rPr>
              <w:t xml:space="preserve">
пада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w:t>
            </w:r>
            <w:r>
              <w:br/>
            </w:r>
            <w:r>
              <w:rPr>
                <w:rFonts w:ascii="Times New Roman"/>
                <w:b w:val="false"/>
                <w:i w:val="false"/>
                <w:color w:val="000000"/>
                <w:sz w:val="20"/>
              </w:rPr>
              <w:t xml:space="preserve">
распада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Дозовый коэффициент при </w:t>
            </w:r>
            <w:r>
              <w:br/>
            </w:r>
            <w:r>
              <w:rPr>
                <w:rFonts w:ascii="Times New Roman"/>
                <w:b w:val="false"/>
                <w:i w:val="false"/>
                <w:color w:val="000000"/>
                <w:sz w:val="20"/>
              </w:rPr>
              <w:t xml:space="preserve">
ингаляционном поступлении, </w:t>
            </w:r>
            <w:r>
              <w:br/>
            </w:r>
            <w:r>
              <w:rPr>
                <w:rFonts w:ascii="Times New Roman"/>
                <w:b w:val="false"/>
                <w:i w:val="false"/>
                <w:color w:val="000000"/>
                <w:sz w:val="20"/>
              </w:rPr>
              <w:t xml:space="preserve">
Зв/Бк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w:t>
            </w:r>
            <w:r>
              <w:br/>
            </w:r>
            <w:r>
              <w:rPr>
                <w:rFonts w:ascii="Times New Roman"/>
                <w:b w:val="false"/>
                <w:i w:val="false"/>
                <w:color w:val="000000"/>
                <w:sz w:val="20"/>
              </w:rPr>
              <w:t xml:space="preserve">
соединения </w:t>
            </w:r>
            <w:r>
              <w:br/>
            </w:r>
            <w:r>
              <w:rPr>
                <w:rFonts w:ascii="Times New Roman"/>
                <w:b w:val="false"/>
                <w:i w:val="false"/>
                <w:color w:val="000000"/>
                <w:sz w:val="20"/>
              </w:rPr>
              <w:t xml:space="preserve">
- П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Максимальный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238 </w:t>
            </w:r>
            <w:r>
              <w:rPr>
                <w:rFonts w:ascii="Times New Roman"/>
                <w:b w:val="false"/>
                <w:i w:val="false"/>
                <w:color w:val="000000"/>
                <w:sz w:val="20"/>
              </w:rPr>
              <w:t xml:space="preserve">U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4,77 . 10 </w:t>
            </w:r>
            <w:r>
              <w:rPr>
                <w:rFonts w:ascii="Times New Roman"/>
                <w:b w:val="false"/>
                <w:i w:val="false"/>
                <w:color w:val="000000"/>
                <w:vertAlign w:val="superscript"/>
              </w:rPr>
              <w:t xml:space="preserve">9 </w:t>
            </w:r>
            <w:r>
              <w:rPr>
                <w:rFonts w:ascii="Times New Roman"/>
                <w:b w:val="false"/>
                <w:i w:val="false"/>
                <w:color w:val="000000"/>
                <w:sz w:val="20"/>
              </w:rPr>
              <w:t xml:space="preserve">лет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2,6 . 10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6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7,3 . 10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6 </w:t>
            </w:r>
          </w:p>
        </w:tc>
      </w:tr>
      <w:tr>
        <w:trPr>
          <w:trHeight w:val="37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234 </w:t>
            </w:r>
            <w:r>
              <w:rPr>
                <w:rFonts w:ascii="Times New Roman"/>
                <w:b w:val="false"/>
                <w:i w:val="false"/>
                <w:color w:val="000000"/>
                <w:sz w:val="20"/>
              </w:rPr>
              <w:t xml:space="preserve">Th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24,10 дней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6,3 . 10 </w:t>
            </w:r>
            <w:r>
              <w:rPr>
                <w:rFonts w:ascii="Times New Roman"/>
                <w:b w:val="false"/>
                <w:i w:val="false"/>
                <w:color w:val="000000"/>
                <w:vertAlign w:val="superscript"/>
              </w:rPr>
              <w:t xml:space="preserve">-9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7,3 . 10 </w:t>
            </w:r>
            <w:r>
              <w:rPr>
                <w:rFonts w:ascii="Times New Roman"/>
                <w:b w:val="false"/>
                <w:i w:val="false"/>
                <w:color w:val="000000"/>
                <w:vertAlign w:val="superscript"/>
              </w:rPr>
              <w:t xml:space="preserve">-9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234 </w:t>
            </w:r>
            <w:r>
              <w:rPr>
                <w:rFonts w:ascii="Times New Roman"/>
                <w:b w:val="false"/>
                <w:i w:val="false"/>
                <w:color w:val="000000"/>
                <w:sz w:val="20"/>
              </w:rPr>
              <w:t xml:space="preserve">Pa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мин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3,8 . 10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10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4,0 . 10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10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234 </w:t>
            </w:r>
            <w:r>
              <w:rPr>
                <w:rFonts w:ascii="Times New Roman"/>
                <w:b w:val="false"/>
                <w:i w:val="false"/>
                <w:color w:val="000000"/>
                <w:sz w:val="20"/>
              </w:rPr>
              <w:t xml:space="preserve">U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2,45 . 10 </w:t>
            </w:r>
            <w:r>
              <w:rPr>
                <w:rFonts w:ascii="Times New Roman"/>
                <w:b w:val="false"/>
                <w:i w:val="false"/>
                <w:color w:val="000000"/>
                <w:vertAlign w:val="superscript"/>
              </w:rPr>
              <w:t xml:space="preserve">5 </w:t>
            </w:r>
            <w:r>
              <w:rPr>
                <w:rFonts w:ascii="Times New Roman"/>
                <w:b w:val="false"/>
                <w:i w:val="false"/>
                <w:color w:val="000000"/>
                <w:sz w:val="20"/>
              </w:rPr>
              <w:t xml:space="preserve">лет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3,1 . 10 </w:t>
            </w:r>
            <w:r>
              <w:rPr>
                <w:rFonts w:ascii="Times New Roman"/>
                <w:b w:val="false"/>
                <w:i w:val="false"/>
                <w:color w:val="000000"/>
                <w:vertAlign w:val="superscript"/>
              </w:rPr>
              <w:t xml:space="preserve">-6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8,5 . 10 </w:t>
            </w:r>
            <w:r>
              <w:rPr>
                <w:rFonts w:ascii="Times New Roman"/>
                <w:b w:val="false"/>
                <w:i w:val="false"/>
                <w:color w:val="000000"/>
                <w:vertAlign w:val="superscript"/>
              </w:rPr>
              <w:t xml:space="preserve">-6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230 </w:t>
            </w:r>
            <w:r>
              <w:rPr>
                <w:rFonts w:ascii="Times New Roman"/>
                <w:b w:val="false"/>
                <w:i w:val="false"/>
                <w:color w:val="000000"/>
                <w:sz w:val="20"/>
              </w:rPr>
              <w:t xml:space="preserve">Th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7,70 . 10 </w:t>
            </w:r>
            <w:r>
              <w:rPr>
                <w:rFonts w:ascii="Times New Roman"/>
                <w:b w:val="false"/>
                <w:i w:val="false"/>
                <w:color w:val="000000"/>
                <w:vertAlign w:val="superscript"/>
              </w:rPr>
              <w:t xml:space="preserve">4 </w:t>
            </w:r>
            <w:r>
              <w:rPr>
                <w:rFonts w:ascii="Times New Roman"/>
                <w:b w:val="false"/>
                <w:i w:val="false"/>
                <w:color w:val="000000"/>
                <w:sz w:val="20"/>
              </w:rPr>
              <w:t xml:space="preserve">лет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4,0 . 10 </w:t>
            </w:r>
            <w:r>
              <w:rPr>
                <w:rFonts w:ascii="Times New Roman"/>
                <w:b w:val="false"/>
                <w:i w:val="false"/>
                <w:color w:val="000000"/>
                <w:vertAlign w:val="superscript"/>
              </w:rPr>
              <w:t xml:space="preserve">-5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4,0 . 10 </w:t>
            </w:r>
            <w:r>
              <w:rPr>
                <w:rFonts w:ascii="Times New Roman"/>
                <w:b w:val="false"/>
                <w:i w:val="false"/>
                <w:color w:val="000000"/>
                <w:vertAlign w:val="superscript"/>
              </w:rPr>
              <w:t xml:space="preserve">-5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226 </w:t>
            </w:r>
            <w:r>
              <w:rPr>
                <w:rFonts w:ascii="Times New Roman"/>
                <w:b w:val="false"/>
                <w:i w:val="false"/>
                <w:color w:val="000000"/>
                <w:sz w:val="20"/>
              </w:rPr>
              <w:t xml:space="preserve">Ra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лет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3,2 . 10 </w:t>
            </w:r>
            <w:r>
              <w:rPr>
                <w:rFonts w:ascii="Times New Roman"/>
                <w:b w:val="false"/>
                <w:i w:val="false"/>
                <w:color w:val="000000"/>
                <w:vertAlign w:val="superscript"/>
              </w:rPr>
              <w:t xml:space="preserve">-6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3,2 . 10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6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222 </w:t>
            </w:r>
            <w:r>
              <w:rPr>
                <w:rFonts w:ascii="Times New Roman"/>
                <w:b w:val="false"/>
                <w:i w:val="false"/>
                <w:color w:val="000000"/>
                <w:sz w:val="20"/>
              </w:rPr>
              <w:t xml:space="preserve">Rn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 дней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218 </w:t>
            </w:r>
            <w:r>
              <w:rPr>
                <w:rFonts w:ascii="Times New Roman"/>
                <w:b w:val="false"/>
                <w:i w:val="false"/>
                <w:color w:val="000000"/>
                <w:sz w:val="20"/>
              </w:rPr>
              <w:t xml:space="preserve">Po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мин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214 </w:t>
            </w:r>
            <w:r>
              <w:rPr>
                <w:rFonts w:ascii="Times New Roman"/>
                <w:b w:val="false"/>
                <w:i w:val="false"/>
                <w:color w:val="000000"/>
                <w:sz w:val="20"/>
              </w:rPr>
              <w:t xml:space="preserve">Pb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мин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2,9 . 10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9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214 </w:t>
            </w:r>
            <w:r>
              <w:rPr>
                <w:rFonts w:ascii="Times New Roman"/>
                <w:b w:val="false"/>
                <w:i w:val="false"/>
                <w:color w:val="000000"/>
                <w:sz w:val="20"/>
              </w:rPr>
              <w:t xml:space="preserve">Bi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мин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1,4 . 10 </w:t>
            </w:r>
            <w:r>
              <w:rPr>
                <w:rFonts w:ascii="Times New Roman"/>
                <w:b w:val="false"/>
                <w:i w:val="false"/>
                <w:color w:val="000000"/>
                <w:vertAlign w:val="superscript"/>
              </w:rPr>
              <w:t xml:space="preserve">-8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1,4 . 10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8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214 </w:t>
            </w:r>
            <w:r>
              <w:rPr>
                <w:rFonts w:ascii="Times New Roman"/>
                <w:b w:val="false"/>
                <w:i w:val="false"/>
                <w:color w:val="000000"/>
                <w:sz w:val="20"/>
              </w:rPr>
              <w:t xml:space="preserve">Po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мкс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21 </w:t>
            </w:r>
            <w:r>
              <w:rPr>
                <w:rFonts w:ascii="Times New Roman"/>
                <w:b w:val="false"/>
                <w:i w:val="false"/>
                <w:color w:val="000000"/>
                <w:vertAlign w:val="superscript"/>
              </w:rPr>
              <w:t xml:space="preserve">0 </w:t>
            </w:r>
            <w:r>
              <w:rPr>
                <w:rFonts w:ascii="Times New Roman"/>
                <w:b w:val="false"/>
                <w:i w:val="false"/>
                <w:color w:val="000000"/>
                <w:sz w:val="20"/>
              </w:rPr>
              <w:t xml:space="preserve">Pb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года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8,9 . 10 </w:t>
            </w:r>
            <w:r>
              <w:rPr>
                <w:rFonts w:ascii="Times New Roman"/>
                <w:b w:val="false"/>
                <w:i w:val="false"/>
                <w:color w:val="000000"/>
                <w:vertAlign w:val="superscript"/>
              </w:rPr>
              <w:t xml:space="preserve">-7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210 </w:t>
            </w:r>
            <w:r>
              <w:rPr>
                <w:rFonts w:ascii="Times New Roman"/>
                <w:b w:val="false"/>
                <w:i w:val="false"/>
                <w:color w:val="000000"/>
                <w:sz w:val="20"/>
              </w:rPr>
              <w:t xml:space="preserve">Bi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5,013 дня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8,4 . 10 </w:t>
            </w:r>
            <w:r>
              <w:rPr>
                <w:rFonts w:ascii="Times New Roman"/>
                <w:b w:val="false"/>
                <w:i w:val="false"/>
                <w:color w:val="000000"/>
                <w:vertAlign w:val="superscript"/>
              </w:rPr>
              <w:t xml:space="preserve">-8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8,4 . 10 </w:t>
            </w:r>
            <w:r>
              <w:rPr>
                <w:rFonts w:ascii="Times New Roman"/>
                <w:b w:val="false"/>
                <w:i w:val="false"/>
                <w:color w:val="000000"/>
                <w:vertAlign w:val="superscript"/>
              </w:rPr>
              <w:t xml:space="preserve">-8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 </w:t>
            </w:r>
            <w:r>
              <w:rPr>
                <w:rFonts w:ascii="Times New Roman"/>
                <w:b w:val="false"/>
                <w:i w:val="false"/>
                <w:color w:val="000000"/>
                <w:vertAlign w:val="superscript"/>
              </w:rPr>
              <w:t xml:space="preserve">10 </w:t>
            </w:r>
            <w:r>
              <w:rPr>
                <w:rFonts w:ascii="Times New Roman"/>
                <w:b w:val="false"/>
                <w:i w:val="false"/>
                <w:color w:val="000000"/>
                <w:sz w:val="20"/>
              </w:rPr>
              <w:t xml:space="preserve">Ро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138,4 дня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3,0 . 10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6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3,0 . 10 </w:t>
            </w:r>
            <w:r>
              <w:rPr>
                <w:rFonts w:ascii="Times New Roman"/>
                <w:b w:val="false"/>
                <w:i w:val="false"/>
                <w:color w:val="000000"/>
                <w:vertAlign w:val="superscript"/>
              </w:rPr>
              <w:t xml:space="preserve">-6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5,20 . 10 </w:t>
            </w:r>
            <w:r>
              <w:rPr>
                <w:rFonts w:ascii="Times New Roman"/>
                <w:b w:val="false"/>
                <w:i w:val="false"/>
                <w:color w:val="000000"/>
                <w:vertAlign w:val="superscript"/>
              </w:rPr>
              <w:t xml:space="preserve">-5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6,30 . 10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5 </w:t>
            </w:r>
          </w:p>
        </w:tc>
      </w:tr>
    </w:tbl>
    <w:p>
      <w:pPr>
        <w:spacing w:after="0"/>
        <w:ind w:left="0"/>
        <w:jc w:val="both"/>
      </w:pPr>
      <w:r>
        <w:rPr>
          <w:rFonts w:ascii="Times New Roman"/>
          <w:b w:val="false"/>
          <w:i w:val="false"/>
          <w:color w:val="000000"/>
          <w:sz w:val="28"/>
        </w:rPr>
        <w:t xml:space="preserve">       Дозовые коэффициенты для радионуклидов ряда </w:t>
      </w:r>
      <w:r>
        <w:rPr>
          <w:rFonts w:ascii="Times New Roman"/>
          <w:b w:val="false"/>
          <w:i w:val="false"/>
          <w:color w:val="000000"/>
          <w:vertAlign w:val="superscript"/>
        </w:rPr>
        <w:t xml:space="preserve">232 </w:t>
      </w:r>
      <w:r>
        <w:rPr>
          <w:rFonts w:ascii="Times New Roman"/>
          <w:b w:val="false"/>
          <w:i w:val="false"/>
          <w:color w:val="000000"/>
          <w:sz w:val="28"/>
        </w:rPr>
        <w:t xml:space="preserve">Th </w:t>
      </w:r>
      <w:r>
        <w:br/>
      </w:r>
      <w:r>
        <w:rPr>
          <w:rFonts w:ascii="Times New Roman"/>
          <w:b w:val="false"/>
          <w:i w:val="false"/>
          <w:color w:val="000000"/>
          <w:sz w:val="28"/>
        </w:rPr>
        <w:t>
 </w:t>
      </w:r>
      <w:r>
        <w:br/>
      </w:r>
      <w:r>
        <w:rPr>
          <w:rFonts w:ascii="Times New Roman"/>
          <w:b w:val="false"/>
          <w:i w:val="false"/>
          <w:color w:val="000000"/>
          <w:sz w:val="28"/>
        </w:rPr>
        <w:t xml:space="preserve">
                                                     Таблица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2473"/>
        <w:gridCol w:w="2113"/>
        <w:gridCol w:w="2573"/>
        <w:gridCol w:w="2653"/>
      </w:tblGrid>
      <w:tr>
        <w:trPr>
          <w:trHeight w:val="660" w:hRule="atLeast"/>
        </w:trPr>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 </w:t>
            </w:r>
            <w:r>
              <w:br/>
            </w:r>
            <w:r>
              <w:rPr>
                <w:rFonts w:ascii="Times New Roman"/>
                <w:b w:val="false"/>
                <w:i w:val="false"/>
                <w:color w:val="000000"/>
                <w:sz w:val="20"/>
              </w:rPr>
              <w:t xml:space="preserve">
нуклид </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w:t>
            </w:r>
            <w:r>
              <w:br/>
            </w:r>
            <w:r>
              <w:rPr>
                <w:rFonts w:ascii="Times New Roman"/>
                <w:b w:val="false"/>
                <w:i w:val="false"/>
                <w:color w:val="000000"/>
                <w:sz w:val="20"/>
              </w:rPr>
              <w:t xml:space="preserve">
полурас- </w:t>
            </w:r>
            <w:r>
              <w:br/>
            </w:r>
            <w:r>
              <w:rPr>
                <w:rFonts w:ascii="Times New Roman"/>
                <w:b w:val="false"/>
                <w:i w:val="false"/>
                <w:color w:val="000000"/>
                <w:sz w:val="20"/>
              </w:rPr>
              <w:t xml:space="preserve">
пада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w:t>
            </w:r>
            <w:r>
              <w:br/>
            </w:r>
            <w:r>
              <w:rPr>
                <w:rFonts w:ascii="Times New Roman"/>
                <w:b w:val="false"/>
                <w:i w:val="false"/>
                <w:color w:val="000000"/>
                <w:sz w:val="20"/>
              </w:rPr>
              <w:t xml:space="preserve">
распада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Дозовый коэффициент при </w:t>
            </w:r>
            <w:r>
              <w:br/>
            </w:r>
            <w:r>
              <w:rPr>
                <w:rFonts w:ascii="Times New Roman"/>
                <w:b w:val="false"/>
                <w:i w:val="false"/>
                <w:color w:val="000000"/>
                <w:sz w:val="20"/>
              </w:rPr>
              <w:t xml:space="preserve">
ингаляционном </w:t>
            </w:r>
            <w:r>
              <w:br/>
            </w:r>
            <w:r>
              <w:rPr>
                <w:rFonts w:ascii="Times New Roman"/>
                <w:b w:val="false"/>
                <w:i w:val="false"/>
                <w:color w:val="000000"/>
                <w:sz w:val="20"/>
              </w:rPr>
              <w:t xml:space="preserve">
поступлении, Зв/Бк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w:t>
            </w:r>
            <w:r>
              <w:br/>
            </w:r>
            <w:r>
              <w:rPr>
                <w:rFonts w:ascii="Times New Roman"/>
                <w:b w:val="false"/>
                <w:i w:val="false"/>
                <w:color w:val="000000"/>
                <w:sz w:val="20"/>
              </w:rPr>
              <w:t xml:space="preserve">
соединения </w:t>
            </w:r>
            <w:r>
              <w:br/>
            </w:r>
            <w:r>
              <w:rPr>
                <w:rFonts w:ascii="Times New Roman"/>
                <w:b w:val="false"/>
                <w:i w:val="false"/>
                <w:color w:val="000000"/>
                <w:sz w:val="20"/>
              </w:rPr>
              <w:t xml:space="preserve">
- П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 </w:t>
            </w:r>
            <w:r>
              <w:br/>
            </w:r>
            <w:r>
              <w:rPr>
                <w:rFonts w:ascii="Times New Roman"/>
                <w:b w:val="false"/>
                <w:i w:val="false"/>
                <w:color w:val="000000"/>
                <w:sz w:val="20"/>
              </w:rPr>
              <w:t xml:space="preserve">
мальный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232 </w:t>
            </w:r>
            <w:r>
              <w:rPr>
                <w:rFonts w:ascii="Times New Roman"/>
                <w:b w:val="false"/>
                <w:i w:val="false"/>
                <w:color w:val="000000"/>
                <w:sz w:val="20"/>
              </w:rPr>
              <w:t xml:space="preserve">Th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1,405 . 10 </w:t>
            </w:r>
            <w:r>
              <w:rPr>
                <w:rFonts w:ascii="Times New Roman"/>
                <w:b w:val="false"/>
                <w:i w:val="false"/>
                <w:color w:val="000000"/>
                <w:vertAlign w:val="superscript"/>
              </w:rPr>
              <w:t xml:space="preserve">10 </w:t>
            </w:r>
            <w:r>
              <w:rPr>
                <w:rFonts w:ascii="Times New Roman"/>
                <w:b w:val="false"/>
                <w:i w:val="false"/>
                <w:color w:val="000000"/>
                <w:sz w:val="20"/>
              </w:rPr>
              <w:t xml:space="preserve">лет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4,2 . 10 </w:t>
            </w:r>
            <w:r>
              <w:rPr>
                <w:rFonts w:ascii="Times New Roman"/>
                <w:b w:val="false"/>
                <w:i w:val="false"/>
                <w:color w:val="000000"/>
                <w:vertAlign w:val="superscript"/>
              </w:rPr>
              <w:t xml:space="preserve">-5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4,2 . 10 </w:t>
            </w:r>
            <w:r>
              <w:rPr>
                <w:rFonts w:ascii="Times New Roman"/>
                <w:b w:val="false"/>
                <w:i w:val="false"/>
                <w:color w:val="000000"/>
                <w:vertAlign w:val="superscript"/>
              </w:rPr>
              <w:t xml:space="preserve">-5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228 </w:t>
            </w:r>
            <w:r>
              <w:rPr>
                <w:rFonts w:ascii="Times New Roman"/>
                <w:b w:val="false"/>
                <w:i w:val="false"/>
                <w:color w:val="000000"/>
                <w:sz w:val="20"/>
              </w:rPr>
              <w:t xml:space="preserve">Ra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лет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2,6 . 10 </w:t>
            </w:r>
            <w:r>
              <w:rPr>
                <w:rFonts w:ascii="Times New Roman"/>
                <w:b w:val="false"/>
                <w:i w:val="false"/>
                <w:color w:val="000000"/>
                <w:vertAlign w:val="superscript"/>
              </w:rPr>
              <w:t xml:space="preserve">-6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2,6 . 10 </w:t>
            </w:r>
            <w:r>
              <w:rPr>
                <w:rFonts w:ascii="Times New Roman"/>
                <w:b w:val="false"/>
                <w:i w:val="false"/>
                <w:color w:val="000000"/>
                <w:vertAlign w:val="superscript"/>
              </w:rPr>
              <w:t xml:space="preserve">-6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228 </w:t>
            </w:r>
            <w:r>
              <w:rPr>
                <w:rFonts w:ascii="Times New Roman"/>
                <w:b w:val="false"/>
                <w:i w:val="false"/>
                <w:color w:val="000000"/>
                <w:sz w:val="20"/>
              </w:rPr>
              <w:t xml:space="preserve">Ас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ч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1,6 . 10 </w:t>
            </w:r>
            <w:r>
              <w:rPr>
                <w:rFonts w:ascii="Times New Roman"/>
                <w:b w:val="false"/>
                <w:i w:val="false"/>
                <w:color w:val="000000"/>
                <w:vertAlign w:val="superscript"/>
              </w:rPr>
              <w:t xml:space="preserve">-8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2,5 . 10 </w:t>
            </w:r>
            <w:r>
              <w:rPr>
                <w:rFonts w:ascii="Times New Roman"/>
                <w:b w:val="false"/>
                <w:i w:val="false"/>
                <w:color w:val="000000"/>
                <w:vertAlign w:val="superscript"/>
              </w:rPr>
              <w:t xml:space="preserve">-8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228 </w:t>
            </w:r>
            <w:r>
              <w:rPr>
                <w:rFonts w:ascii="Times New Roman"/>
                <w:b w:val="false"/>
                <w:i w:val="false"/>
                <w:color w:val="000000"/>
                <w:sz w:val="20"/>
              </w:rPr>
              <w:t xml:space="preserve">Th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1,913 лет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3,1 . 10 </w:t>
            </w:r>
            <w:r>
              <w:rPr>
                <w:rFonts w:ascii="Times New Roman"/>
                <w:b w:val="false"/>
                <w:i w:val="false"/>
                <w:color w:val="000000"/>
                <w:vertAlign w:val="superscript"/>
              </w:rPr>
              <w:t xml:space="preserve">-5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3,9 . 10 </w:t>
            </w:r>
            <w:r>
              <w:rPr>
                <w:rFonts w:ascii="Times New Roman"/>
                <w:b w:val="false"/>
                <w:i w:val="false"/>
                <w:color w:val="000000"/>
                <w:vertAlign w:val="superscript"/>
              </w:rPr>
              <w:t xml:space="preserve">-5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224 </w:t>
            </w:r>
            <w:r>
              <w:rPr>
                <w:rFonts w:ascii="Times New Roman"/>
                <w:b w:val="false"/>
                <w:i w:val="false"/>
                <w:color w:val="000000"/>
                <w:sz w:val="20"/>
              </w:rPr>
              <w:t xml:space="preserve">Ra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дней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2,9 . 10 </w:t>
            </w:r>
            <w:r>
              <w:rPr>
                <w:rFonts w:ascii="Times New Roman"/>
                <w:b w:val="false"/>
                <w:i w:val="false"/>
                <w:color w:val="000000"/>
                <w:vertAlign w:val="superscript"/>
              </w:rPr>
              <w:t xml:space="preserve">-6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2,9 . 10 </w:t>
            </w:r>
            <w:r>
              <w:rPr>
                <w:rFonts w:ascii="Times New Roman"/>
                <w:b w:val="false"/>
                <w:i w:val="false"/>
                <w:color w:val="000000"/>
                <w:vertAlign w:val="superscript"/>
              </w:rPr>
              <w:t xml:space="preserve">-6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22 </w:t>
            </w:r>
            <w:r>
              <w:rPr>
                <w:rFonts w:ascii="Times New Roman"/>
                <w:b w:val="false"/>
                <w:i w:val="false"/>
                <w:color w:val="000000"/>
                <w:vertAlign w:val="superscript"/>
              </w:rPr>
              <w:t xml:space="preserve">0 </w:t>
            </w:r>
            <w:r>
              <w:rPr>
                <w:rFonts w:ascii="Times New Roman"/>
                <w:b w:val="false"/>
                <w:i w:val="false"/>
                <w:color w:val="000000"/>
                <w:sz w:val="20"/>
              </w:rPr>
              <w:t xml:space="preserve">Rn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с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216 </w:t>
            </w:r>
            <w:r>
              <w:rPr>
                <w:rFonts w:ascii="Times New Roman"/>
                <w:b w:val="false"/>
                <w:i w:val="false"/>
                <w:color w:val="000000"/>
                <w:sz w:val="20"/>
              </w:rPr>
              <w:t xml:space="preserve">Ро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0,145 с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212 </w:t>
            </w:r>
            <w:r>
              <w:rPr>
                <w:rFonts w:ascii="Times New Roman"/>
                <w:b w:val="false"/>
                <w:i w:val="false"/>
                <w:color w:val="000000"/>
                <w:sz w:val="20"/>
              </w:rPr>
              <w:t xml:space="preserve">Pb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 ч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1,9 . 10 </w:t>
            </w:r>
            <w:r>
              <w:rPr>
                <w:rFonts w:ascii="Times New Roman"/>
                <w:b w:val="false"/>
                <w:i w:val="false"/>
                <w:color w:val="000000"/>
                <w:vertAlign w:val="superscript"/>
              </w:rPr>
              <w:t xml:space="preserve">-8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212 </w:t>
            </w:r>
            <w:r>
              <w:rPr>
                <w:rFonts w:ascii="Times New Roman"/>
                <w:b w:val="false"/>
                <w:i w:val="false"/>
                <w:color w:val="000000"/>
                <w:sz w:val="20"/>
              </w:rPr>
              <w:t xml:space="preserve">Bi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60,55 мин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(36%); </w:t>
            </w:r>
          </w:p>
          <w:p>
            <w:pPr>
              <w:spacing w:after="20"/>
              <w:ind w:left="20"/>
              <w:jc w:val="both"/>
            </w:pPr>
            <w:r>
              <w:rPr>
                <w:rFonts w:ascii="Times New Roman"/>
                <w:b w:val="false"/>
                <w:i w:val="false"/>
                <w:color w:val="000000"/>
                <w:sz w:val="20"/>
              </w:rPr>
              <w:t xml:space="preserve">в (64%)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3,0 . 10 </w:t>
            </w:r>
            <w:r>
              <w:rPr>
                <w:rFonts w:ascii="Times New Roman"/>
                <w:b w:val="false"/>
                <w:i w:val="false"/>
                <w:color w:val="000000"/>
                <w:vertAlign w:val="superscript"/>
              </w:rPr>
              <w:t xml:space="preserve">-8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3,0 . 10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8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212 </w:t>
            </w:r>
            <w:r>
              <w:rPr>
                <w:rFonts w:ascii="Times New Roman"/>
                <w:b w:val="false"/>
                <w:i w:val="false"/>
                <w:color w:val="000000"/>
                <w:sz w:val="20"/>
              </w:rPr>
              <w:t xml:space="preserve">Po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0,299 мкс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208 </w:t>
            </w:r>
            <w:r>
              <w:rPr>
                <w:rFonts w:ascii="Times New Roman"/>
                <w:b w:val="false"/>
                <w:i w:val="false"/>
                <w:color w:val="000000"/>
                <w:sz w:val="20"/>
              </w:rPr>
              <w:t xml:space="preserve">Ti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3,053 мин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7,85 . 10 </w:t>
            </w:r>
            <w:r>
              <w:rPr>
                <w:rFonts w:ascii="Times New Roman"/>
                <w:b w:val="false"/>
                <w:i w:val="false"/>
                <w:color w:val="000000"/>
                <w:vertAlign w:val="superscript"/>
              </w:rPr>
              <w:t xml:space="preserve">-5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8,66 . 10 </w:t>
            </w:r>
            <w:r>
              <w:rPr>
                <w:rFonts w:ascii="Times New Roman"/>
                <w:b w:val="false"/>
                <w:i w:val="false"/>
                <w:color w:val="000000"/>
                <w:vertAlign w:val="superscript"/>
              </w:rPr>
              <w:t xml:space="preserve">-5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