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baf5" w14:textId="6c7b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требованиях к программно-техническим средствам, 
необходимым для осуществления деятельности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19 апреля 2005 года № 132. Зарегистрировано в Министерстве юстиции Республики Казахстан 24 мая 2005 года № 3649. Утратило силу постановлением Правления Национального Банка Республики Казахстан от 28 апреля 2012 года № 165</w:t>
      </w:r>
    </w:p>
    <w:p>
      <w:pPr>
        <w:spacing w:after="0"/>
        <w:ind w:left="0"/>
        <w:jc w:val="both"/>
      </w:pPr>
      <w:bookmarkStart w:name="z22" w:id="0"/>
      <w:r>
        <w:rPr>
          <w:rFonts w:ascii="Times New Roman"/>
          <w:b w:val="false"/>
          <w:i w:val="false"/>
          <w:color w:val="ff0000"/>
          <w:sz w:val="28"/>
        </w:rPr>
        <w:t xml:space="preserve">
     Сноска. Утратило силу постановлением Правления Национального Банка РК от 28.04.2012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пунктом 4 </w:t>
      </w:r>
      <w:r>
        <w:rPr>
          <w:rFonts w:ascii="Times New Roman"/>
          <w:b w:val="false"/>
          <w:i w:val="false"/>
          <w:color w:val="000000"/>
          <w:sz w:val="28"/>
        </w:rPr>
        <w:t xml:space="preserve">статьи 45 </w:t>
      </w:r>
      <w:r>
        <w:rPr>
          <w:rFonts w:ascii="Times New Roman"/>
          <w:b w:val="false"/>
          <w:i w:val="false"/>
          <w:color w:val="000000"/>
          <w:sz w:val="28"/>
        </w:rPr>
        <w:t>, подпунктом 2) пункта 1 </w:t>
      </w:r>
      <w:r>
        <w:rPr>
          <w:rFonts w:ascii="Times New Roman"/>
          <w:b w:val="false"/>
          <w:i w:val="false"/>
          <w:color w:val="000000"/>
          <w:sz w:val="28"/>
        </w:rPr>
        <w:t xml:space="preserve">статьи 48 </w:t>
      </w:r>
      <w:r>
        <w:rPr>
          <w:rFonts w:ascii="Times New Roman"/>
          <w:b w:val="false"/>
          <w:i w:val="false"/>
          <w:color w:val="000000"/>
          <w:sz w:val="28"/>
        </w:rPr>
        <w:t>Закона Республики Казахстан "О рынке ценных бумаг" и подпунктом 10) </w:t>
      </w:r>
      <w:r>
        <w:rPr>
          <w:rFonts w:ascii="Times New Roman"/>
          <w:b w:val="false"/>
          <w:i w:val="false"/>
          <w:color w:val="000000"/>
          <w:sz w:val="28"/>
        </w:rPr>
        <w:t xml:space="preserve">статьи 12 </w:t>
      </w:r>
      <w:r>
        <w:rPr>
          <w:rFonts w:ascii="Times New Roman"/>
          <w:b w:val="false"/>
          <w:i w:val="false"/>
          <w:color w:val="000000"/>
          <w:sz w:val="28"/>
        </w:rPr>
        <w:t xml:space="preserve">Закона Республики Казахстан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1" w:id="1"/>
    <w:p>
      <w:pPr>
        <w:spacing w:after="0"/>
        <w:ind w:left="0"/>
        <w:jc w:val="both"/>
      </w:pPr>
      <w:r>
        <w:rPr>
          <w:rFonts w:ascii="Times New Roman"/>
          <w:b w:val="false"/>
          <w:i w:val="false"/>
          <w:color w:val="000000"/>
          <w:sz w:val="28"/>
        </w:rPr>
        <w:t xml:space="preserve">
     1. Утвердить прилагаемую Инструкцию о требованиях к программно-техническим средствам, необходимым для осуществления деятельности на рынке ценных бумаг. </w:t>
      </w:r>
    </w:p>
    <w:bookmarkEnd w:id="1"/>
    <w:bookmarkStart w:name="z2"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w:t>
      </w:r>
    </w:p>
    <w:bookmarkEnd w:id="2"/>
    <w:bookmarkStart w:name="z3" w:id="3"/>
    <w:p>
      <w:pPr>
        <w:spacing w:after="0"/>
        <w:ind w:left="0"/>
        <w:jc w:val="both"/>
      </w:pPr>
      <w:r>
        <w:rPr>
          <w:rFonts w:ascii="Times New Roman"/>
          <w:b w:val="false"/>
          <w:i w:val="false"/>
          <w:color w:val="000000"/>
          <w:sz w:val="28"/>
        </w:rPr>
        <w:t xml:space="preserve">
     3.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принятия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Объединения юридических лиц "Ассоциация управляющих активами", Объединения юридических лиц "Казахстанская ассоциация реестродержателей". </w:t>
      </w:r>
    </w:p>
    <w:bookmarkEnd w:id="3"/>
    <w:bookmarkStart w:name="z4" w:id="4"/>
    <w:p>
      <w:pPr>
        <w:spacing w:after="0"/>
        <w:ind w:left="0"/>
        <w:jc w:val="both"/>
      </w:pPr>
      <w:r>
        <w:rPr>
          <w:rFonts w:ascii="Times New Roman"/>
          <w:b w:val="false"/>
          <w:i w:val="false"/>
          <w:color w:val="000000"/>
          <w:sz w:val="28"/>
        </w:rPr>
        <w:t xml:space="preserve">
     4. Профессиональным участникам рынка ценных бумаг в срок до 1 января 2006 года привести свое программно-техническое обеспечение в соответствии с настоящим постановлением. </w:t>
      </w:r>
    </w:p>
    <w:bookmarkEnd w:id="4"/>
    <w:bookmarkStart w:name="z5" w:id="5"/>
    <w:p>
      <w:pPr>
        <w:spacing w:after="0"/>
        <w:ind w:left="0"/>
        <w:jc w:val="both"/>
      </w:pPr>
      <w:r>
        <w:rPr>
          <w:rFonts w:ascii="Times New Roman"/>
          <w:b w:val="false"/>
          <w:i w:val="false"/>
          <w:color w:val="000000"/>
          <w:sz w:val="28"/>
        </w:rPr>
        <w:t xml:space="preserve">
     5. Отделу международных отношений и связей с общественностью </w:t>
      </w:r>
      <w:r>
        <w:br/>
      </w:r>
      <w:r>
        <w:rPr>
          <w:rFonts w:ascii="Times New Roman"/>
          <w:b w:val="false"/>
          <w:i w:val="false"/>
          <w:color w:val="000000"/>
          <w:sz w:val="28"/>
        </w:rPr>
        <w:t xml:space="preserve">
(Пернебаев Т.Ш.) принять меры к публикации настоящего постановления </w:t>
      </w:r>
      <w:r>
        <w:br/>
      </w:r>
      <w:r>
        <w:rPr>
          <w:rFonts w:ascii="Times New Roman"/>
          <w:b w:val="false"/>
          <w:i w:val="false"/>
          <w:color w:val="000000"/>
          <w:sz w:val="28"/>
        </w:rPr>
        <w:t xml:space="preserve">
в средствах массовой информации Республики Казахстан. </w:t>
      </w:r>
    </w:p>
    <w:bookmarkEnd w:id="5"/>
    <w:bookmarkStart w:name="z6" w:id="6"/>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Бахмутову Е.Л. </w:t>
      </w:r>
    </w:p>
    <w:bookmarkEnd w:id="6"/>
    <w:p>
      <w:pPr>
        <w:spacing w:after="0"/>
        <w:ind w:left="0"/>
        <w:jc w:val="both"/>
      </w:pPr>
      <w:r>
        <w:rPr>
          <w:rFonts w:ascii="Times New Roman"/>
          <w:b w:val="false"/>
          <w:i/>
          <w:color w:val="000000"/>
          <w:sz w:val="28"/>
        </w:rPr>
        <w:t xml:space="preserve">    Председатель </w:t>
      </w:r>
    </w:p>
    <w:bookmarkStart w:name="z7" w:id="7"/>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Правления Агентства    </w:t>
      </w:r>
      <w:r>
        <w:br/>
      </w:r>
      <w:r>
        <w:rPr>
          <w:rFonts w:ascii="Times New Roman"/>
          <w:b w:val="false"/>
          <w:i w:val="false"/>
          <w:color w:val="000000"/>
          <w:sz w:val="28"/>
        </w:rPr>
        <w:t xml:space="preserve">
Республики Казахстан по регулированию и </w:t>
      </w:r>
      <w:r>
        <w:br/>
      </w:r>
      <w:r>
        <w:rPr>
          <w:rFonts w:ascii="Times New Roman"/>
          <w:b w:val="false"/>
          <w:i w:val="false"/>
          <w:color w:val="000000"/>
          <w:sz w:val="28"/>
        </w:rPr>
        <w:t xml:space="preserve">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19 апреля 2005 года N 132     </w:t>
      </w:r>
    </w:p>
    <w:bookmarkEnd w:id="7"/>
    <w:p>
      <w:pPr>
        <w:spacing w:after="0"/>
        <w:ind w:left="0"/>
        <w:jc w:val="left"/>
      </w:pPr>
      <w:r>
        <w:rPr>
          <w:rFonts w:ascii="Times New Roman"/>
          <w:b/>
          <w:i w:val="false"/>
          <w:color w:val="000000"/>
        </w:rPr>
        <w:t xml:space="preserve"> Инструкция о требованиях к программно-техническим </w:t>
      </w:r>
      <w:r>
        <w:br/>
      </w:r>
      <w:r>
        <w:rPr>
          <w:rFonts w:ascii="Times New Roman"/>
          <w:b/>
          <w:i w:val="false"/>
          <w:color w:val="000000"/>
        </w:rPr>
        <w:t xml:space="preserve">
средствам, необходимым для осуществления деятельности </w:t>
      </w:r>
      <w:r>
        <w:br/>
      </w:r>
      <w:r>
        <w:rPr>
          <w:rFonts w:ascii="Times New Roman"/>
          <w:b/>
          <w:i w:val="false"/>
          <w:color w:val="000000"/>
        </w:rPr>
        <w:t xml:space="preserve">
на рынке ценных бумаг </w:t>
      </w:r>
    </w:p>
    <w:bookmarkStart w:name="z8" w:id="8"/>
    <w:p>
      <w:pPr>
        <w:spacing w:after="0"/>
        <w:ind w:left="0"/>
        <w:jc w:val="left"/>
      </w:pPr>
      <w:r>
        <w:rPr>
          <w:rFonts w:ascii="Times New Roman"/>
          <w:b/>
          <w:i w:val="false"/>
          <w:color w:val="000000"/>
        </w:rPr>
        <w:t xml:space="preserve"> 
Глава 1. Общие положения </w:t>
      </w:r>
    </w:p>
    <w:bookmarkEnd w:id="8"/>
    <w:p>
      <w:pPr>
        <w:spacing w:after="0"/>
        <w:ind w:left="0"/>
        <w:jc w:val="both"/>
      </w:pPr>
      <w:r>
        <w:rPr>
          <w:rFonts w:ascii="Times New Roman"/>
          <w:b w:val="false"/>
          <w:i w:val="false"/>
          <w:color w:val="000000"/>
          <w:sz w:val="28"/>
        </w:rPr>
        <w:t xml:space="preserve">     Настоящая Инструкция определяет требования к программно-техническим средствам (далее - программное обеспечение) и организации безопасной работы, обеспечивающей сохранность и защиту информации от несанкционированного доступа к данным, хранящимся у профессиональных участников рынка ценных бумаг. </w:t>
      </w:r>
    </w:p>
    <w:bookmarkStart w:name="z9" w:id="9"/>
    <w:p>
      <w:pPr>
        <w:spacing w:after="0"/>
        <w:ind w:left="0"/>
        <w:jc w:val="left"/>
      </w:pPr>
      <w:r>
        <w:rPr>
          <w:rFonts w:ascii="Times New Roman"/>
          <w:b/>
          <w:i w:val="false"/>
          <w:color w:val="000000"/>
        </w:rPr>
        <w:t xml:space="preserve"> 
Глава 2. Требования к программному обеспечению </w:t>
      </w:r>
    </w:p>
    <w:bookmarkEnd w:id="9"/>
    <w:p>
      <w:pPr>
        <w:spacing w:after="0"/>
        <w:ind w:left="0"/>
        <w:jc w:val="both"/>
      </w:pPr>
      <w:r>
        <w:rPr>
          <w:rFonts w:ascii="Times New Roman"/>
          <w:b w:val="false"/>
          <w:i w:val="false"/>
          <w:color w:val="000000"/>
          <w:sz w:val="28"/>
        </w:rPr>
        <w:t xml:space="preserve">     1. Программное обеспечение должно обеспечивать: </w:t>
      </w:r>
    </w:p>
    <w:bookmarkStart w:name="z11" w:id="10"/>
    <w:p>
      <w:pPr>
        <w:spacing w:after="0"/>
        <w:ind w:left="0"/>
        <w:jc w:val="both"/>
      </w:pPr>
      <w:r>
        <w:rPr>
          <w:rFonts w:ascii="Times New Roman"/>
          <w:b w:val="false"/>
          <w:i w:val="false"/>
          <w:color w:val="000000"/>
          <w:sz w:val="28"/>
        </w:rPr>
        <w:t xml:space="preserve">
     1) надежное хранение информации, защиту от несанкционированного доступа, целостность баз данных и полную сохранность информации в электронных архивах и базах данных при: </w:t>
      </w:r>
      <w:r>
        <w:br/>
      </w:r>
      <w:r>
        <w:rPr>
          <w:rFonts w:ascii="Times New Roman"/>
          <w:b w:val="false"/>
          <w:i w:val="false"/>
          <w:color w:val="000000"/>
          <w:sz w:val="28"/>
        </w:rPr>
        <w:t xml:space="preserve">
     полном или частичном отключении электропитания на любом участке программного обеспечения в любое время; </w:t>
      </w:r>
      <w:r>
        <w:br/>
      </w:r>
      <w:r>
        <w:rPr>
          <w:rFonts w:ascii="Times New Roman"/>
          <w:b w:val="false"/>
          <w:i w:val="false"/>
          <w:color w:val="000000"/>
          <w:sz w:val="28"/>
        </w:rPr>
        <w:t xml:space="preserve">
     аварии сетей, телекоммуникаций, разрыве установленных физических и виртуальных соединений на любом этапе выполнения операции обмена данными; </w:t>
      </w:r>
      <w:r>
        <w:br/>
      </w:r>
      <w:r>
        <w:rPr>
          <w:rFonts w:ascii="Times New Roman"/>
          <w:b w:val="false"/>
          <w:i w:val="false"/>
          <w:color w:val="000000"/>
          <w:sz w:val="28"/>
        </w:rPr>
        <w:t xml:space="preserve">
     полном или частичном отказе любых вычислительных средств программного обеспечения в процессе выполнения любой функции программного обеспечения; </w:t>
      </w:r>
      <w:r>
        <w:br/>
      </w:r>
      <w:r>
        <w:rPr>
          <w:rFonts w:ascii="Times New Roman"/>
          <w:b w:val="false"/>
          <w:i w:val="false"/>
          <w:color w:val="000000"/>
          <w:sz w:val="28"/>
        </w:rPr>
        <w:t xml:space="preserve">
     попытке несанкционированного доступа к информации программного обеспечения; </w:t>
      </w:r>
      <w:r>
        <w:br/>
      </w:r>
      <w:r>
        <w:rPr>
          <w:rFonts w:ascii="Times New Roman"/>
          <w:b w:val="false"/>
          <w:i w:val="false"/>
          <w:color w:val="000000"/>
          <w:sz w:val="28"/>
        </w:rPr>
        <w:t xml:space="preserve">
      2) многоуровневый доступ к входным данным, функциям, операциям, отчетам, реализованным в программном обеспечении. Программное обеспечение должно предусматривать, как минимум, два уровня доступа: администратор и пользователь; </w:t>
      </w:r>
      <w:r>
        <w:br/>
      </w:r>
      <w:r>
        <w:rPr>
          <w:rFonts w:ascii="Times New Roman"/>
          <w:b w:val="false"/>
          <w:i w:val="false"/>
          <w:color w:val="000000"/>
          <w:sz w:val="28"/>
        </w:rPr>
        <w:t xml:space="preserve">
      3) контроль полноты вводимых данных (в случае выполнения функций или операции без полного заполнения всех полей программа должна выдавать соответствующее уведомление); </w:t>
      </w:r>
      <w:r>
        <w:br/>
      </w:r>
      <w:r>
        <w:rPr>
          <w:rFonts w:ascii="Times New Roman"/>
          <w:b w:val="false"/>
          <w:i w:val="false"/>
          <w:color w:val="000000"/>
          <w:sz w:val="28"/>
        </w:rPr>
        <w:t xml:space="preserve">
      4) поиск информации по индивидуальному запросу и по любым критериям с сохранением запроса, а также сортировку информации по любым параметрам и возможность просмотра информации за предыдущие даты; </w:t>
      </w:r>
      <w:r>
        <w:br/>
      </w:r>
      <w:r>
        <w:rPr>
          <w:rFonts w:ascii="Times New Roman"/>
          <w:b w:val="false"/>
          <w:i w:val="false"/>
          <w:color w:val="000000"/>
          <w:sz w:val="28"/>
        </w:rPr>
        <w:t xml:space="preserve">
      5) обработку и хранение информации по датам без сокращений; </w:t>
      </w:r>
      <w:r>
        <w:br/>
      </w:r>
      <w:r>
        <w:rPr>
          <w:rFonts w:ascii="Times New Roman"/>
          <w:b w:val="false"/>
          <w:i w:val="false"/>
          <w:color w:val="000000"/>
          <w:sz w:val="28"/>
        </w:rPr>
        <w:t xml:space="preserve">
      6) автоматизированное формирование форм отчетов, установленных уполномоченным органом по регулированию и надзору финансового рынка и финансовых организаций (далее – уполномоченный орган), а также уведомлений, справок, выписок с лицевого счета, отчетов о проведенных операциях и документов, подтверждающих осуществление информационных операций; </w:t>
      </w:r>
      <w:r>
        <w:br/>
      </w:r>
      <w:r>
        <w:rPr>
          <w:rFonts w:ascii="Times New Roman"/>
          <w:b w:val="false"/>
          <w:i w:val="false"/>
          <w:color w:val="000000"/>
          <w:sz w:val="28"/>
        </w:rPr>
        <w:t xml:space="preserve">
      7) ведение и автоматизированное формирование журналов системы внутреннего учета профессиональных участников рынка ценных бумаг, предусмотренных законодательством Республики Казахстан и их внутренними документами. Должна быть предусмотрена возможность формирования журнала как полностью, так и частично (на указанный диапазон дат, определенную дату, для конкретного зарегистрированного лица, для конкретного статуса входящего документа); </w:t>
      </w:r>
      <w:r>
        <w:br/>
      </w:r>
      <w:r>
        <w:rPr>
          <w:rFonts w:ascii="Times New Roman"/>
          <w:b w:val="false"/>
          <w:i w:val="false"/>
          <w:color w:val="000000"/>
          <w:sz w:val="28"/>
        </w:rPr>
        <w:t xml:space="preserve">
      8) возможность архивации (восстановление данных из архива); </w:t>
      </w:r>
      <w:r>
        <w:br/>
      </w:r>
      <w:r>
        <w:rPr>
          <w:rFonts w:ascii="Times New Roman"/>
          <w:b w:val="false"/>
          <w:i w:val="false"/>
          <w:color w:val="000000"/>
          <w:sz w:val="28"/>
        </w:rPr>
        <w:t xml:space="preserve">
      9) возможность вывода выходных документов на экран, принтер или в файл; </w:t>
      </w:r>
      <w:r>
        <w:br/>
      </w:r>
      <w:r>
        <w:rPr>
          <w:rFonts w:ascii="Times New Roman"/>
          <w:b w:val="false"/>
          <w:i w:val="false"/>
          <w:color w:val="000000"/>
          <w:sz w:val="28"/>
        </w:rPr>
        <w:t xml:space="preserve">
      10) применение системы двукратного ввода приказов разными пользователями («первый ввод» и «второй ввод») в целях исключения ошибок при вводе данной информации. При введении информации пользователи «второго ввода» не имеют доступа к информации, введенной пользователями «первого ввода». В случае несоответствия данных «второго ввода» данным «первого ввода» программа должна выдавать соответствующее уведомление; </w:t>
      </w:r>
      <w:r>
        <w:br/>
      </w:r>
      <w:r>
        <w:rPr>
          <w:rFonts w:ascii="Times New Roman"/>
          <w:b w:val="false"/>
          <w:i w:val="false"/>
          <w:color w:val="000000"/>
          <w:sz w:val="28"/>
        </w:rPr>
        <w:t xml:space="preserve">
      11) обеспечение обмена электронными документами; </w:t>
      </w:r>
      <w:r>
        <w:br/>
      </w:r>
      <w:r>
        <w:rPr>
          <w:rFonts w:ascii="Times New Roman"/>
          <w:b w:val="false"/>
          <w:i w:val="false"/>
          <w:color w:val="000000"/>
          <w:sz w:val="28"/>
        </w:rPr>
        <w:t xml:space="preserve">
      12) возможность бесперебойного и непрерывного осуществления работы в случае сбоев в программном обеспечении посредством наличия резервной копии программного обеспечения с последующей возможностью восстановления данных из резервной копии.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 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0"/>
    <w:bookmarkStart w:name="z10" w:id="11"/>
    <w:p>
      <w:pPr>
        <w:spacing w:after="0"/>
        <w:ind w:left="0"/>
        <w:jc w:val="both"/>
      </w:pPr>
      <w:r>
        <w:rPr>
          <w:rFonts w:ascii="Times New Roman"/>
          <w:b w:val="false"/>
          <w:i w:val="false"/>
          <w:color w:val="000000"/>
          <w:sz w:val="28"/>
        </w:rPr>
        <w:t xml:space="preserve">
      2. Для организаций, обладающих лицензией на осуществление брокерской и дилерской деятельности с правом ведения счетов клиентов в качестве номинального держателя, деятельности по ведению системы реестров держателей ценных бумаг, кастодиальной деятельности, программное обеспечение в дополнение к требованиям, предусмотренным пунктом 1 настоящей Инструкции, должно обеспечивать: </w:t>
      </w:r>
      <w:r>
        <w:br/>
      </w:r>
      <w:r>
        <w:rPr>
          <w:rFonts w:ascii="Times New Roman"/>
          <w:b w:val="false"/>
          <w:i w:val="false"/>
          <w:color w:val="000000"/>
          <w:sz w:val="28"/>
        </w:rPr>
        <w:t xml:space="preserve">
      1) </w:t>
      </w:r>
      <w:r>
        <w:rPr>
          <w:rFonts w:ascii="Times New Roman"/>
          <w:b w:val="false"/>
          <w:i w:val="false"/>
          <w:color w:val="ff0000"/>
          <w:sz w:val="28"/>
        </w:rPr>
        <w:t xml:space="preserve">исключен - </w:t>
      </w:r>
      <w:r>
        <w:rPr>
          <w:rFonts w:ascii="Times New Roman"/>
          <w:b w:val="false"/>
          <w:i w:val="false"/>
          <w:color w:val="ff0000"/>
          <w:sz w:val="28"/>
        </w:rPr>
        <w:t xml:space="preserve">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 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xml:space="preserve">
      2) проведение следующих операций: </w:t>
      </w:r>
      <w:r>
        <w:br/>
      </w:r>
      <w:r>
        <w:rPr>
          <w:rFonts w:ascii="Times New Roman"/>
          <w:b w:val="false"/>
          <w:i w:val="false"/>
          <w:color w:val="000000"/>
          <w:sz w:val="28"/>
        </w:rPr>
        <w:t xml:space="preserve">
      открытие лицевого счета; </w:t>
      </w:r>
      <w:r>
        <w:br/>
      </w:r>
      <w:r>
        <w:rPr>
          <w:rFonts w:ascii="Times New Roman"/>
          <w:b w:val="false"/>
          <w:i w:val="false"/>
          <w:color w:val="000000"/>
          <w:sz w:val="28"/>
        </w:rPr>
        <w:t xml:space="preserve">
      изменение сведений о зарегистрированном лице; </w:t>
      </w:r>
      <w:r>
        <w:br/>
      </w:r>
      <w:r>
        <w:rPr>
          <w:rFonts w:ascii="Times New Roman"/>
          <w:b w:val="false"/>
          <w:i w:val="false"/>
          <w:color w:val="000000"/>
          <w:sz w:val="28"/>
        </w:rPr>
        <w:t xml:space="preserve">
      аннулирование выпуска эмиссионных ценных бумаг; </w:t>
      </w:r>
      <w:r>
        <w:br/>
      </w:r>
      <w:r>
        <w:rPr>
          <w:rFonts w:ascii="Times New Roman"/>
          <w:b w:val="false"/>
          <w:i w:val="false"/>
          <w:color w:val="000000"/>
          <w:sz w:val="28"/>
        </w:rPr>
        <w:t xml:space="preserve">
      списание (зачисление) ценных бумаг со (на) счетов (счета) держателей ценных бумаг; </w:t>
      </w:r>
      <w:r>
        <w:br/>
      </w:r>
      <w:r>
        <w:rPr>
          <w:rFonts w:ascii="Times New Roman"/>
          <w:b w:val="false"/>
          <w:i w:val="false"/>
          <w:color w:val="000000"/>
          <w:sz w:val="28"/>
        </w:rPr>
        <w:t xml:space="preserve">
      внесение записей об увеличении количества акций на лицевом счете (субсчете) держателя ценных бумаг в связи с увеличением количества размещенных акций без увеличения размера уставного капитала (дробление акций); </w:t>
      </w:r>
      <w:r>
        <w:br/>
      </w:r>
      <w:r>
        <w:rPr>
          <w:rFonts w:ascii="Times New Roman"/>
          <w:b w:val="false"/>
          <w:i w:val="false"/>
          <w:color w:val="000000"/>
          <w:sz w:val="28"/>
        </w:rPr>
        <w:t xml:space="preserve">
      обременение ценных бумаг и снятие обременения; </w:t>
      </w:r>
      <w:r>
        <w:br/>
      </w:r>
      <w:r>
        <w:rPr>
          <w:rFonts w:ascii="Times New Roman"/>
          <w:b w:val="false"/>
          <w:i w:val="false"/>
          <w:color w:val="000000"/>
          <w:sz w:val="28"/>
        </w:rPr>
        <w:t xml:space="preserve">
      блокирование ценных бумаг и снятие блокирования ценных бумаг; </w:t>
      </w:r>
      <w:r>
        <w:br/>
      </w:r>
      <w:r>
        <w:rPr>
          <w:rFonts w:ascii="Times New Roman"/>
          <w:b w:val="false"/>
          <w:i w:val="false"/>
          <w:color w:val="000000"/>
          <w:sz w:val="28"/>
        </w:rPr>
        <w:t xml:space="preserve">
      внесение записей о доверительном управляющем и удаление записи о доверительном управляющем; </w:t>
      </w:r>
      <w:r>
        <w:br/>
      </w:r>
      <w:r>
        <w:rPr>
          <w:rFonts w:ascii="Times New Roman"/>
          <w:b w:val="false"/>
          <w:i w:val="false"/>
          <w:color w:val="000000"/>
          <w:sz w:val="28"/>
        </w:rPr>
        <w:t xml:space="preserve">
      закрытие лицевого счета; </w:t>
      </w:r>
      <w:r>
        <w:br/>
      </w:r>
      <w:r>
        <w:rPr>
          <w:rFonts w:ascii="Times New Roman"/>
          <w:b w:val="false"/>
          <w:i w:val="false"/>
          <w:color w:val="000000"/>
          <w:sz w:val="28"/>
        </w:rPr>
        <w:t xml:space="preserve">
      выдача выписки с лицевого счета; </w:t>
      </w:r>
      <w:r>
        <w:br/>
      </w:r>
      <w:r>
        <w:rPr>
          <w:rFonts w:ascii="Times New Roman"/>
          <w:b w:val="false"/>
          <w:i w:val="false"/>
          <w:color w:val="000000"/>
          <w:sz w:val="28"/>
        </w:rPr>
        <w:t xml:space="preserve">
      выдача отчета о проведенных операциях; </w:t>
      </w:r>
      <w:r>
        <w:br/>
      </w:r>
      <w:r>
        <w:rPr>
          <w:rFonts w:ascii="Times New Roman"/>
          <w:b w:val="false"/>
          <w:i w:val="false"/>
          <w:color w:val="000000"/>
          <w:sz w:val="28"/>
        </w:rPr>
        <w:t xml:space="preserve">
      подготовка и выдача других отчетов по запросам держателей ценных бумаг, центрального депозитария, эмитентов и уполномоченного органа; </w:t>
      </w:r>
      <w:r>
        <w:br/>
      </w:r>
      <w:r>
        <w:rPr>
          <w:rFonts w:ascii="Times New Roman"/>
          <w:b w:val="false"/>
          <w:i w:val="false"/>
          <w:color w:val="000000"/>
          <w:sz w:val="28"/>
        </w:rPr>
        <w:t xml:space="preserve">
      3) при изменении фамилии, имени, отчества или полного наименования зарегистрированного лица сохранность изменяемых данных и поиск зарегистрированного лица по прежним данным; </w:t>
      </w:r>
      <w:r>
        <w:br/>
      </w:r>
      <w:r>
        <w:rPr>
          <w:rFonts w:ascii="Times New Roman"/>
          <w:b w:val="false"/>
          <w:i w:val="false"/>
          <w:color w:val="000000"/>
          <w:sz w:val="28"/>
        </w:rPr>
        <w:t xml:space="preserve">
      4) сохранность информации по всем операциям, проведенным по лицевому счету за весь период; </w:t>
      </w:r>
      <w:r>
        <w:br/>
      </w:r>
      <w:r>
        <w:rPr>
          <w:rFonts w:ascii="Times New Roman"/>
          <w:b w:val="false"/>
          <w:i w:val="false"/>
          <w:color w:val="000000"/>
          <w:sz w:val="28"/>
        </w:rPr>
        <w:t xml:space="preserve">
      5) взаимодействие с программным обеспечением центрального депозитария в процессе регистрации сделок с эмиссионными ценными бумагами. </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 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1"/>
    <w:bookmarkStart w:name="z23" w:id="1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2-1. Программное обеспечение организаций, обладающих лицензиями на осуществление брокерской и дилерской деятельности с правом ведения счетов клиентов в качестве номинального держателя, кастодиальной деятельности, в дополнение к требованиям, предусмотренным пунктами 1 и 2 настоящей Инструкции, должно обеспечивать возможность учета активов клиентов, переданных в номинальное держание и (или) на кастодиальное обслуживание, ведение персонального учета активов клиента, всех операций по его счету, возможность анализа истории операций по лицевому счету. </w:t>
      </w:r>
      <w:r>
        <w:br/>
      </w:r>
      <w:r>
        <w:rPr>
          <w:rFonts w:ascii="Times New Roman"/>
          <w:b w:val="false"/>
          <w:i w:val="false"/>
          <w:color w:val="000000"/>
          <w:sz w:val="28"/>
        </w:rPr>
        <w:t>
      </w:t>
      </w:r>
      <w:r>
        <w:rPr>
          <w:rFonts w:ascii="Times New Roman"/>
          <w:b w:val="false"/>
          <w:i w:val="false"/>
          <w:color w:val="ff0000"/>
          <w:sz w:val="28"/>
        </w:rPr>
        <w:t xml:space="preserve">Сноска. Глава 2 дополнена пунктом 2-1 в соответствии с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 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2-2. Программное обеспечение организаций, обладающих лицензией на осуществление деятельности по ведению системы реестров держателей ценных бумаг, в дополнение к требованиям, предусмотренным пунктами 1 и 2 настоящей Инструкции, должно обеспечивать возможность формирования отчета клиенту об исполнении его приказа только после получения подтверждения центрального депозитария об отражении сделки в единой системе лицевых счетов и внесения информации о данном подтверждении в систему реестров держателей ценных бумаг. </w:t>
      </w:r>
      <w:r>
        <w:br/>
      </w:r>
      <w:r>
        <w:rPr>
          <w:rFonts w:ascii="Times New Roman"/>
          <w:b w:val="false"/>
          <w:i w:val="false"/>
          <w:color w:val="000000"/>
          <w:sz w:val="28"/>
        </w:rPr>
        <w:t>
      </w:t>
      </w:r>
      <w:r>
        <w:rPr>
          <w:rFonts w:ascii="Times New Roman"/>
          <w:b w:val="false"/>
          <w:i w:val="false"/>
          <w:color w:val="ff0000"/>
          <w:sz w:val="28"/>
        </w:rPr>
        <w:t xml:space="preserve">Сноска. Глава 2 дополнена пунктом 2-2 в соответствии с постановлением Правления Агентства РК по регулированию и надзору фин. рынка и фин. организаций от 26.01.2009 </w:t>
      </w:r>
      <w:r>
        <w:rPr>
          <w:rFonts w:ascii="Times New Roman"/>
          <w:b w:val="false"/>
          <w:i w:val="false"/>
          <w:color w:val="000000"/>
          <w:sz w:val="28"/>
        </w:rPr>
        <w:t xml:space="preserve">№ 9 </w:t>
      </w:r>
      <w:r>
        <w:rPr>
          <w:rFonts w:ascii="Times New Roman"/>
          <w:b w:val="false"/>
          <w:i w:val="false"/>
          <w:color w:val="ff0000"/>
          <w:sz w:val="28"/>
        </w:rPr>
        <w:t>(вводится в действие с 01.01.2010).</w:t>
      </w:r>
      <w:r>
        <w:br/>
      </w:r>
      <w:r>
        <w:rPr>
          <w:rFonts w:ascii="Times New Roman"/>
          <w:b w:val="false"/>
          <w:i w:val="false"/>
          <w:color w:val="000000"/>
          <w:sz w:val="28"/>
        </w:rPr>
        <w:t>
</w:t>
      </w:r>
      <w:r>
        <w:rPr>
          <w:rFonts w:ascii="Times New Roman"/>
          <w:b w:val="false"/>
          <w:i w:val="false"/>
          <w:color w:val="000000"/>
          <w:sz w:val="28"/>
        </w:rPr>
        <w:t xml:space="preserve">
      2-3. Типовые формы электронных документов, которыми обмениваются организации, обладающие лицензиями на осуществление брокерской и дилерской деятельности с правом ведения счетов клиентов в качестве номинального держателя, деятельности по ведению системы реестров держателей ценных бумаг, кастодиальной деятельности, определяются сводом правил центрального депозитария. </w:t>
      </w:r>
      <w:r>
        <w:br/>
      </w:r>
      <w:r>
        <w:rPr>
          <w:rFonts w:ascii="Times New Roman"/>
          <w:b w:val="false"/>
          <w:i w:val="false"/>
          <w:color w:val="000000"/>
          <w:sz w:val="28"/>
        </w:rPr>
        <w:t>
      </w:t>
      </w:r>
      <w:r>
        <w:rPr>
          <w:rFonts w:ascii="Times New Roman"/>
          <w:b w:val="false"/>
          <w:i w:val="false"/>
          <w:color w:val="ff0000"/>
          <w:sz w:val="28"/>
        </w:rPr>
        <w:t xml:space="preserve">Сноска. Глава 2 дополнена пунктом 2-3 в соответствии с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 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2-4. Программное обеспечение для фондовой биржи в дополнение к требованиям,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настоящей Инструкции, обеспечивает:</w:t>
      </w:r>
      <w:r>
        <w:br/>
      </w:r>
      <w:r>
        <w:rPr>
          <w:rFonts w:ascii="Times New Roman"/>
          <w:b w:val="false"/>
          <w:i w:val="false"/>
          <w:color w:val="000000"/>
          <w:sz w:val="28"/>
        </w:rPr>
        <w:t>
      1) идентификацию физических лиц, уполномоченных на заключение сделок от имени члена фондовой биржи и выполнение действий от имени члена фондовой биржи с использованием торговой системы данной фондовой биржи (трейдер), при каждом использовании торговой системы фондовой биржи;</w:t>
      </w:r>
      <w:r>
        <w:br/>
      </w:r>
      <w:r>
        <w:rPr>
          <w:rFonts w:ascii="Times New Roman"/>
          <w:b w:val="false"/>
          <w:i w:val="false"/>
          <w:color w:val="000000"/>
          <w:sz w:val="28"/>
        </w:rPr>
        <w:t>
      2) ограничение возможности заключения сделок с использованием торговой системы фондовой биржи лицами, не обладающими таким правом в соответствии с внутренними документами фондовой биржи;</w:t>
      </w:r>
      <w:r>
        <w:br/>
      </w:r>
      <w:r>
        <w:rPr>
          <w:rFonts w:ascii="Times New Roman"/>
          <w:b w:val="false"/>
          <w:i w:val="false"/>
          <w:color w:val="000000"/>
          <w:sz w:val="28"/>
        </w:rPr>
        <w:t>
      3) мониторинг параметров сделок, заключаемых в торговой системе фондовой биржи, на предмет выявления сделок с ценными бумагами, соответствующих условиям, определенным пунктами 5 и 6 </w:t>
      </w:r>
      <w:r>
        <w:rPr>
          <w:rFonts w:ascii="Times New Roman"/>
          <w:b w:val="false"/>
          <w:i w:val="false"/>
          <w:color w:val="000000"/>
          <w:sz w:val="28"/>
        </w:rPr>
        <w:t>статьи 56</w:t>
      </w:r>
      <w:r>
        <w:rPr>
          <w:rFonts w:ascii="Times New Roman"/>
          <w:b w:val="false"/>
          <w:i w:val="false"/>
          <w:color w:val="000000"/>
          <w:sz w:val="28"/>
        </w:rPr>
        <w:t> Закона Республики Казахстан от 2 июля 2003 года "О рынке ценных бумаг", а также случаям, установленным </w:t>
      </w:r>
      <w:r>
        <w:rPr>
          <w:rFonts w:ascii="Times New Roman"/>
          <w:b w:val="false"/>
          <w:i w:val="false"/>
          <w:color w:val="000000"/>
          <w:sz w:val="28"/>
        </w:rPr>
        <w:t>главой 9</w:t>
      </w:r>
      <w:r>
        <w:rPr>
          <w:rFonts w:ascii="Times New Roman"/>
          <w:b w:val="false"/>
          <w:i w:val="false"/>
          <w:color w:val="000000"/>
          <w:sz w:val="28"/>
        </w:rPr>
        <w:t xml:space="preserve"> Правил осуществления деятельности организаторов торгов с ценными бумагами и иными финансовыми инструментами, утвержденных постановлением Правления Агентства Республики Казахстан по регулированию и надзору финансового рынка и финансовых организаций от 29 октября 2008 года № 170, (зарегистрированным в Реестре государственной регистрации нормативных правовых актов под № 5406).</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2-4 в соответствии с постановлением Правления АФН РК от 04.10.2010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2-5. Программное обеспечение для центрального депозитария в дополнение к требованиям, предусмотренным </w:t>
      </w:r>
      <w:r>
        <w:rPr>
          <w:rFonts w:ascii="Times New Roman"/>
          <w:b w:val="false"/>
          <w:i w:val="false"/>
          <w:color w:val="000000"/>
          <w:sz w:val="28"/>
        </w:rPr>
        <w:t>пунктом 1</w:t>
      </w:r>
      <w:r>
        <w:rPr>
          <w:rFonts w:ascii="Times New Roman"/>
          <w:b w:val="false"/>
          <w:i w:val="false"/>
          <w:color w:val="000000"/>
          <w:sz w:val="28"/>
        </w:rPr>
        <w:t>, подпунктами 2), 3), и 4)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2-1</w:t>
      </w:r>
      <w:r>
        <w:rPr>
          <w:rFonts w:ascii="Times New Roman"/>
          <w:b w:val="false"/>
          <w:i w:val="false"/>
          <w:color w:val="000000"/>
          <w:sz w:val="28"/>
        </w:rPr>
        <w:t xml:space="preserve"> настоящей Инструкции, обеспечивает:</w:t>
      </w:r>
      <w:r>
        <w:br/>
      </w:r>
      <w:r>
        <w:rPr>
          <w:rFonts w:ascii="Times New Roman"/>
          <w:b w:val="false"/>
          <w:i w:val="false"/>
          <w:color w:val="000000"/>
          <w:sz w:val="28"/>
        </w:rPr>
        <w:t>
      1) проверку, до совершения операции по лицевому счету депонента или субсчету, открытому в рамках данного лицевого счета:</w:t>
      </w:r>
      <w:r>
        <w:br/>
      </w:r>
      <w:r>
        <w:rPr>
          <w:rFonts w:ascii="Times New Roman"/>
          <w:b w:val="false"/>
          <w:i w:val="false"/>
          <w:color w:val="000000"/>
          <w:sz w:val="28"/>
        </w:rPr>
        <w:t>
      возможности совершения такой операции с учетом требований законодательства Республики Казахстан о рынке ценных бумаг и свода правил центрального депозитария;</w:t>
      </w:r>
      <w:r>
        <w:br/>
      </w:r>
      <w:r>
        <w:rPr>
          <w:rFonts w:ascii="Times New Roman"/>
          <w:b w:val="false"/>
          <w:i w:val="false"/>
          <w:color w:val="000000"/>
          <w:sz w:val="28"/>
        </w:rPr>
        <w:t>
      реквизитов документов, на основании которых совершается операция по лицевому счету депонента или субсчету, открытому в рамках данного лицевого счета, на предмет наличия и соответствия требованиям свода правил центрального депозитария;</w:t>
      </w:r>
      <w:r>
        <w:br/>
      </w:r>
      <w:r>
        <w:rPr>
          <w:rFonts w:ascii="Times New Roman"/>
          <w:b w:val="false"/>
          <w:i w:val="false"/>
          <w:color w:val="000000"/>
          <w:sz w:val="28"/>
        </w:rPr>
        <w:t>
      полномочий лиц, передающих документы, на основании которых совершается операция по лицевому счету депонента или субсчету, открытому в рамках данного лицевого счета, совершать данные действия;</w:t>
      </w:r>
      <w:r>
        <w:br/>
      </w:r>
      <w:r>
        <w:rPr>
          <w:rFonts w:ascii="Times New Roman"/>
          <w:b w:val="false"/>
          <w:i w:val="false"/>
          <w:color w:val="000000"/>
          <w:sz w:val="28"/>
        </w:rPr>
        <w:t>
      2) отказ в совершении операции по лицевому счету депонента или субсчету, открытому в рамках данного лицевого счета, если по итогам проверки, произведенной в соответствии с подпунктом 1) настоящего пункта:</w:t>
      </w:r>
      <w:r>
        <w:br/>
      </w:r>
      <w:r>
        <w:rPr>
          <w:rFonts w:ascii="Times New Roman"/>
          <w:b w:val="false"/>
          <w:i w:val="false"/>
          <w:color w:val="000000"/>
          <w:sz w:val="28"/>
        </w:rPr>
        <w:t>
      установлено несоответствие предполагаемой к совершению операции требованиям законодательства Республики Казахстан о рынке ценных бумаг и свода правил центрального депозитария;</w:t>
      </w:r>
      <w:r>
        <w:br/>
      </w:r>
      <w:r>
        <w:rPr>
          <w:rFonts w:ascii="Times New Roman"/>
          <w:b w:val="false"/>
          <w:i w:val="false"/>
          <w:color w:val="000000"/>
          <w:sz w:val="28"/>
        </w:rPr>
        <w:t>
      установлено отсутствие или несоответствие реквизитов в документах, на основании которых совершается операция по лицевому счету депонента или субсчету, открытому в рамках данного лицевого счета, требованиям свода правил центрального депозитария;</w:t>
      </w:r>
      <w:r>
        <w:br/>
      </w:r>
      <w:r>
        <w:rPr>
          <w:rFonts w:ascii="Times New Roman"/>
          <w:b w:val="false"/>
          <w:i w:val="false"/>
          <w:color w:val="000000"/>
          <w:sz w:val="28"/>
        </w:rPr>
        <w:t>
      неподтверждены полномочия лиц, передающих документы, на основании которых совершается операция по лицевому счету депонента или субсчету, открытому в рамках данного лицевого счета, совершать данные действия;</w:t>
      </w:r>
      <w:r>
        <w:br/>
      </w:r>
      <w:r>
        <w:rPr>
          <w:rFonts w:ascii="Times New Roman"/>
          <w:b w:val="false"/>
          <w:i w:val="false"/>
          <w:color w:val="000000"/>
          <w:sz w:val="28"/>
        </w:rPr>
        <w:t>
      3) ограничение возможности для проведения операций по лицевым счетам депонентов и субсчетам, открытым в рамках данных лицевых счетов, после закрытия операционного дня, если следующий операционный день не открыт;</w:t>
      </w:r>
      <w:r>
        <w:br/>
      </w:r>
      <w:r>
        <w:rPr>
          <w:rFonts w:ascii="Times New Roman"/>
          <w:b w:val="false"/>
          <w:i w:val="false"/>
          <w:color w:val="000000"/>
          <w:sz w:val="28"/>
        </w:rPr>
        <w:t>
      4) фиксацию ошибок и несоответствий, выявленных в процессе функционирования программного обеспечения, в журнале несоответствий с указанием мероприятий, предпринятых в целях их устранения и обеспечения дальнейшего функционирования программного обеспечения;</w:t>
      </w:r>
      <w:r>
        <w:br/>
      </w:r>
      <w:r>
        <w:rPr>
          <w:rFonts w:ascii="Times New Roman"/>
          <w:b w:val="false"/>
          <w:i w:val="false"/>
          <w:color w:val="000000"/>
          <w:sz w:val="28"/>
        </w:rPr>
        <w:t>
      5) взаимодействие с программным обеспечением клиентов центрального депозитария.</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2-5 в соответствии с постановлением Правления АФН РК от 04.10.2010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2"/>
    <w:bookmarkStart w:name="z12" w:id="13"/>
    <w:p>
      <w:pPr>
        <w:spacing w:after="0"/>
        <w:ind w:left="0"/>
        <w:jc w:val="both"/>
      </w:pPr>
      <w:r>
        <w:rPr>
          <w:rFonts w:ascii="Times New Roman"/>
          <w:b w:val="false"/>
          <w:i w:val="false"/>
          <w:color w:val="000000"/>
          <w:sz w:val="28"/>
        </w:rPr>
        <w:t xml:space="preserve">
      3. Сохранность информации должна обеспечиваться путем ежедневного автоматического сохранения резервной копии базы данных и системного журнала транзакций на дополнительном сервере. </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 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3"/>
    <w:bookmarkStart w:name="z13" w:id="14"/>
    <w:p>
      <w:pPr>
        <w:spacing w:after="0"/>
        <w:ind w:left="0"/>
        <w:jc w:val="both"/>
      </w:pPr>
      <w:r>
        <w:rPr>
          <w:rFonts w:ascii="Times New Roman"/>
          <w:b w:val="false"/>
          <w:i w:val="false"/>
          <w:color w:val="000000"/>
          <w:sz w:val="28"/>
        </w:rPr>
        <w:t xml:space="preserve">
     4. Для каждого пользователя программного обеспечения предусматривается вход по индивидуальному паролю. Для уровня доступа "администратор" предусматривается возможность изменения паролей. В программном обеспечении отсутствует возможность доступа к входным данным, функциям, операциям, отчетам без ввода соответствующего пароля, который меняется не реже, чем раз в тридцать дней. </w:t>
      </w:r>
      <w:r>
        <w:br/>
      </w:r>
      <w:r>
        <w:rPr>
          <w:rFonts w:ascii="Times New Roman"/>
          <w:b w:val="false"/>
          <w:i w:val="false"/>
          <w:color w:val="000000"/>
          <w:sz w:val="28"/>
        </w:rPr>
        <w:t xml:space="preserve">
      В случае неправильного ввода пароля более трех раз подряд, учетная запись оператора блокируется. Последующая разблокировка производится администратором на основании заявки оператора. </w:t>
      </w:r>
      <w:r>
        <w:br/>
      </w:r>
      <w:r>
        <w:rPr>
          <w:rFonts w:ascii="Times New Roman"/>
          <w:b w:val="false"/>
          <w:i w:val="false"/>
          <w:color w:val="000000"/>
          <w:sz w:val="28"/>
        </w:rPr>
        <w:t xml:space="preserve">
      При смене пароля информационная система отслеживает использование предыдущих паролей (глубина запоминания предыдущих паролей не менее трех). </w:t>
      </w:r>
      <w:r>
        <w:br/>
      </w:r>
      <w:r>
        <w:rPr>
          <w:rFonts w:ascii="Times New Roman"/>
          <w:b w:val="false"/>
          <w:i w:val="false"/>
          <w:color w:val="000000"/>
          <w:sz w:val="28"/>
        </w:rPr>
        <w:t xml:space="preserve">
      Программным обеспечением предусматривается сохранение сведений относительно времени совершения операции или внесения изменений в базу данных и идентификации пользователя, осуществившего данную операцию или запись.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 в редакции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 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4"/>
    <w:bookmarkStart w:name="z14" w:id="15"/>
    <w:p>
      <w:pPr>
        <w:spacing w:after="0"/>
        <w:ind w:left="0"/>
        <w:jc w:val="both"/>
      </w:pPr>
      <w:r>
        <w:rPr>
          <w:rFonts w:ascii="Times New Roman"/>
          <w:b w:val="false"/>
          <w:i w:val="false"/>
          <w:color w:val="000000"/>
          <w:sz w:val="28"/>
        </w:rPr>
        <w:t xml:space="preserve">
     5. Защита информации должна обеспечиваться следующими основными функциями уровня доступа "администратор": </w:t>
      </w:r>
      <w:r>
        <w:br/>
      </w:r>
      <w:r>
        <w:rPr>
          <w:rFonts w:ascii="Times New Roman"/>
          <w:b w:val="false"/>
          <w:i w:val="false"/>
          <w:color w:val="000000"/>
          <w:sz w:val="28"/>
        </w:rPr>
        <w:t xml:space="preserve">
     1) определение групп пользователей, разделение их на категории по выполняемым функциям и установление им уровней доступа к информации, смена паролей; </w:t>
      </w:r>
      <w:r>
        <w:br/>
      </w:r>
      <w:r>
        <w:rPr>
          <w:rFonts w:ascii="Times New Roman"/>
          <w:b w:val="false"/>
          <w:i w:val="false"/>
          <w:color w:val="000000"/>
          <w:sz w:val="28"/>
        </w:rPr>
        <w:t xml:space="preserve">
     2) блокирование доступа пользователей к данным и функциям программного обеспечения; </w:t>
      </w:r>
      <w:r>
        <w:br/>
      </w:r>
      <w:r>
        <w:rPr>
          <w:rFonts w:ascii="Times New Roman"/>
          <w:b w:val="false"/>
          <w:i w:val="false"/>
          <w:color w:val="000000"/>
          <w:sz w:val="28"/>
        </w:rPr>
        <w:t xml:space="preserve">
     3) настройка параметров функционирования программного обеспечения; </w:t>
      </w:r>
      <w:r>
        <w:br/>
      </w:r>
      <w:r>
        <w:rPr>
          <w:rFonts w:ascii="Times New Roman"/>
          <w:b w:val="false"/>
          <w:i w:val="false"/>
          <w:color w:val="000000"/>
          <w:sz w:val="28"/>
        </w:rPr>
        <w:t xml:space="preserve">
     4) просмотр подключенных к базе данных программного обеспечения пользователей; </w:t>
      </w:r>
      <w:r>
        <w:br/>
      </w:r>
      <w:r>
        <w:rPr>
          <w:rFonts w:ascii="Times New Roman"/>
          <w:b w:val="false"/>
          <w:i w:val="false"/>
          <w:color w:val="000000"/>
          <w:sz w:val="28"/>
        </w:rPr>
        <w:t xml:space="preserve">
     5) открытие/закрытие операционного дня; </w:t>
      </w:r>
      <w:r>
        <w:br/>
      </w:r>
      <w:r>
        <w:rPr>
          <w:rFonts w:ascii="Times New Roman"/>
          <w:b w:val="false"/>
          <w:i w:val="false"/>
          <w:color w:val="000000"/>
          <w:sz w:val="28"/>
        </w:rPr>
        <w:t xml:space="preserve">
     6) отключение пользователей от базы данных программного обеспечения в случае необходимости; </w:t>
      </w:r>
      <w:r>
        <w:br/>
      </w:r>
      <w:r>
        <w:rPr>
          <w:rFonts w:ascii="Times New Roman"/>
          <w:b w:val="false"/>
          <w:i w:val="false"/>
          <w:color w:val="000000"/>
          <w:sz w:val="28"/>
        </w:rPr>
        <w:t xml:space="preserve">
     7) смена рабочей даты; </w:t>
      </w:r>
      <w:r>
        <w:br/>
      </w:r>
      <w:r>
        <w:rPr>
          <w:rFonts w:ascii="Times New Roman"/>
          <w:b w:val="false"/>
          <w:i w:val="false"/>
          <w:color w:val="000000"/>
          <w:sz w:val="28"/>
        </w:rPr>
        <w:t xml:space="preserve">
     8) создание архивных и резервных копий на съемных носителях данных долговременного хранения. </w:t>
      </w:r>
    </w:p>
    <w:bookmarkEnd w:id="15"/>
    <w:bookmarkStart w:name="z15" w:id="16"/>
    <w:p>
      <w:pPr>
        <w:spacing w:after="0"/>
        <w:ind w:left="0"/>
        <w:jc w:val="both"/>
      </w:pPr>
      <w:r>
        <w:rPr>
          <w:rFonts w:ascii="Times New Roman"/>
          <w:b w:val="false"/>
          <w:i w:val="false"/>
          <w:color w:val="000000"/>
          <w:sz w:val="28"/>
        </w:rPr>
        <w:t xml:space="preserve">
     6. Основными функциями уровня доступа "пользователь" являются: </w:t>
      </w:r>
      <w:r>
        <w:br/>
      </w:r>
      <w:r>
        <w:rPr>
          <w:rFonts w:ascii="Times New Roman"/>
          <w:b w:val="false"/>
          <w:i w:val="false"/>
          <w:color w:val="000000"/>
          <w:sz w:val="28"/>
        </w:rPr>
        <w:t xml:space="preserve">
     1) смена пользователем собственного пароля; </w:t>
      </w:r>
      <w:r>
        <w:br/>
      </w:r>
      <w:r>
        <w:rPr>
          <w:rFonts w:ascii="Times New Roman"/>
          <w:b w:val="false"/>
          <w:i w:val="false"/>
          <w:color w:val="000000"/>
          <w:sz w:val="28"/>
        </w:rPr>
        <w:t xml:space="preserve">
     2) периодическое обновление справочной информации в базе данных программного обеспечения; </w:t>
      </w:r>
      <w:r>
        <w:br/>
      </w:r>
      <w:r>
        <w:rPr>
          <w:rFonts w:ascii="Times New Roman"/>
          <w:b w:val="false"/>
          <w:i w:val="false"/>
          <w:color w:val="000000"/>
          <w:sz w:val="28"/>
        </w:rPr>
        <w:t xml:space="preserve">
     3) ввод данных в программное обеспечение; </w:t>
      </w:r>
      <w:r>
        <w:br/>
      </w:r>
      <w:r>
        <w:rPr>
          <w:rFonts w:ascii="Times New Roman"/>
          <w:b w:val="false"/>
          <w:i w:val="false"/>
          <w:color w:val="000000"/>
          <w:sz w:val="28"/>
        </w:rPr>
        <w:t xml:space="preserve">
     4) проведение в программном обеспечении определенных операций с ценными бумагами; </w:t>
      </w:r>
      <w:r>
        <w:br/>
      </w:r>
      <w:r>
        <w:rPr>
          <w:rFonts w:ascii="Times New Roman"/>
          <w:b w:val="false"/>
          <w:i w:val="false"/>
          <w:color w:val="000000"/>
          <w:sz w:val="28"/>
        </w:rPr>
        <w:t xml:space="preserve">
     5) формирование отчетных/выходных форм; </w:t>
      </w:r>
      <w:r>
        <w:br/>
      </w:r>
      <w:r>
        <w:rPr>
          <w:rFonts w:ascii="Times New Roman"/>
          <w:b w:val="false"/>
          <w:i w:val="false"/>
          <w:color w:val="000000"/>
          <w:sz w:val="28"/>
        </w:rPr>
        <w:t xml:space="preserve">
     6) сохранение необходимой информации; </w:t>
      </w:r>
      <w:r>
        <w:br/>
      </w:r>
      <w:r>
        <w:rPr>
          <w:rFonts w:ascii="Times New Roman"/>
          <w:b w:val="false"/>
          <w:i w:val="false"/>
          <w:color w:val="000000"/>
          <w:sz w:val="28"/>
        </w:rPr>
        <w:t xml:space="preserve">
     7) печать отчетов и выходных документов. </w:t>
      </w:r>
    </w:p>
    <w:bookmarkEnd w:id="16"/>
    <w:bookmarkStart w:name="z16" w:id="17"/>
    <w:p>
      <w:pPr>
        <w:spacing w:after="0"/>
        <w:ind w:left="0"/>
        <w:jc w:val="both"/>
      </w:pPr>
      <w:r>
        <w:rPr>
          <w:rFonts w:ascii="Times New Roman"/>
          <w:b w:val="false"/>
          <w:i w:val="false"/>
          <w:color w:val="000000"/>
          <w:sz w:val="28"/>
        </w:rPr>
        <w:t xml:space="preserve">
     7. В зависимости от специфики деятельности профессиональных участников рынка ценных бумаг для уровня доступа "администратор" и "пользователь" могут быть предусмотрены дополнительные функции. </w:t>
      </w:r>
    </w:p>
    <w:bookmarkEnd w:id="17"/>
    <w:bookmarkStart w:name="z17" w:id="18"/>
    <w:p>
      <w:pPr>
        <w:spacing w:after="0"/>
        <w:ind w:left="0"/>
        <w:jc w:val="both"/>
      </w:pPr>
      <w:r>
        <w:rPr>
          <w:rFonts w:ascii="Times New Roman"/>
          <w:b w:val="false"/>
          <w:i w:val="false"/>
          <w:color w:val="000000"/>
          <w:sz w:val="28"/>
        </w:rPr>
        <w:t xml:space="preserve">
     8. В программном обеспечении (независимо от уровня доступа) не допускается: </w:t>
      </w:r>
      <w:r>
        <w:br/>
      </w:r>
      <w:r>
        <w:rPr>
          <w:rFonts w:ascii="Times New Roman"/>
          <w:b w:val="false"/>
          <w:i w:val="false"/>
          <w:color w:val="000000"/>
          <w:sz w:val="28"/>
        </w:rPr>
        <w:t xml:space="preserve">
     1) содержание средств, позволяющих исполнить определенные функции и операции с нарушением установленного порядка их выполнения; </w:t>
      </w:r>
      <w:r>
        <w:br/>
      </w:r>
      <w:r>
        <w:rPr>
          <w:rFonts w:ascii="Times New Roman"/>
          <w:b w:val="false"/>
          <w:i w:val="false"/>
          <w:color w:val="000000"/>
          <w:sz w:val="28"/>
        </w:rPr>
        <w:t xml:space="preserve">
     2) иметь функции, позволяющие напрямую вносить изменения в данные сформированных выходных документов; </w:t>
      </w:r>
      <w:r>
        <w:br/>
      </w:r>
      <w:r>
        <w:rPr>
          <w:rFonts w:ascii="Times New Roman"/>
          <w:b w:val="false"/>
          <w:i w:val="false"/>
          <w:color w:val="000000"/>
          <w:sz w:val="28"/>
        </w:rPr>
        <w:t xml:space="preserve">
     3) изменение/удаление данных о проведенных операциях и о состоянии лицевых счетов, за исключением специально предназначенных для этого операций (функций); </w:t>
      </w:r>
      <w:r>
        <w:br/>
      </w:r>
      <w:r>
        <w:rPr>
          <w:rFonts w:ascii="Times New Roman"/>
          <w:b w:val="false"/>
          <w:i w:val="false"/>
          <w:color w:val="000000"/>
          <w:sz w:val="28"/>
        </w:rPr>
        <w:t xml:space="preserve">
      4) автоматическое завершение операций, прерванных в результате отключения электропитания, аварии сетей, телекоммуникаций, разрыва соединений, попытки несанкционированного доступа.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8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 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8"/>
    <w:bookmarkStart w:name="z18" w:id="19"/>
    <w:p>
      <w:pPr>
        <w:spacing w:after="0"/>
        <w:ind w:left="0"/>
        <w:jc w:val="both"/>
      </w:pPr>
      <w:r>
        <w:rPr>
          <w:rFonts w:ascii="Times New Roman"/>
          <w:b w:val="false"/>
          <w:i w:val="false"/>
          <w:color w:val="000000"/>
          <w:sz w:val="28"/>
        </w:rPr>
        <w:t xml:space="preserve">
     9. При выполнении операций программное обеспечение должно выдавать уведомление, при наступлении следующих условий: </w:t>
      </w:r>
      <w:r>
        <w:br/>
      </w:r>
      <w:r>
        <w:rPr>
          <w:rFonts w:ascii="Times New Roman"/>
          <w:b w:val="false"/>
          <w:i w:val="false"/>
          <w:color w:val="000000"/>
          <w:sz w:val="28"/>
        </w:rPr>
        <w:t xml:space="preserve">
     1) количество ценных бумаг (денег), подлежащих списанию с лицевого счета, превышает количество ценных бумаг (денег) на счету; </w:t>
      </w:r>
      <w:r>
        <w:br/>
      </w:r>
      <w:r>
        <w:rPr>
          <w:rFonts w:ascii="Times New Roman"/>
          <w:b w:val="false"/>
          <w:i w:val="false"/>
          <w:color w:val="000000"/>
          <w:sz w:val="28"/>
        </w:rPr>
        <w:t xml:space="preserve">
     2) ценные бумаги, подлежащие списанию, обременены или блокированы. Уведомление должно содержать ссылку на лицевой счет и раздел залогодержателя; </w:t>
      </w:r>
      <w:r>
        <w:br/>
      </w:r>
      <w:r>
        <w:rPr>
          <w:rFonts w:ascii="Times New Roman"/>
          <w:b w:val="false"/>
          <w:i w:val="false"/>
          <w:color w:val="000000"/>
          <w:sz w:val="28"/>
        </w:rPr>
        <w:t xml:space="preserve">
     3) списываемые ценные бумаги, учитываемые на лицевом счету, находятся в общей собственности нескольких лиц; </w:t>
      </w:r>
      <w:r>
        <w:br/>
      </w:r>
      <w:r>
        <w:rPr>
          <w:rFonts w:ascii="Times New Roman"/>
          <w:b w:val="false"/>
          <w:i w:val="false"/>
          <w:color w:val="000000"/>
          <w:sz w:val="28"/>
        </w:rPr>
        <w:t xml:space="preserve">
     4) лицевой счет, с которого списываются ценные бумаги, блокирован.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9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 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9"/>
    <w:bookmarkStart w:name="z19" w:id="20"/>
    <w:p>
      <w:pPr>
        <w:spacing w:after="0"/>
        <w:ind w:left="0"/>
        <w:jc w:val="both"/>
      </w:pPr>
      <w:r>
        <w:rPr>
          <w:rFonts w:ascii="Times New Roman"/>
          <w:b w:val="false"/>
          <w:i w:val="false"/>
          <w:color w:val="000000"/>
          <w:sz w:val="28"/>
        </w:rPr>
        <w:t xml:space="preserve">
     10. При исправлении ошибки, в поле "комментарий" ошибочной записи регистрационного журнала записывается текст "ошибка" (в случае, если возможно исправление записи об ошибочной операции) и указывается номер записи регистрационного журнала об операции, предназначенной для исправления ошибки. </w:t>
      </w:r>
      <w:r>
        <w:br/>
      </w:r>
      <w:r>
        <w:rPr>
          <w:rFonts w:ascii="Times New Roman"/>
          <w:b w:val="false"/>
          <w:i w:val="false"/>
          <w:color w:val="000000"/>
          <w:sz w:val="28"/>
        </w:rPr>
        <w:t xml:space="preserve">
     11. В программном обеспечении могут быть предусмотрены дополнительные данные, функции и отчеты. Выполнение дополнительных функций не должно приводить к нарушению законодательства Республики Казахстан. </w:t>
      </w:r>
      <w:r>
        <w:br/>
      </w:r>
      <w:r>
        <w:rPr>
          <w:rFonts w:ascii="Times New Roman"/>
          <w:b w:val="false"/>
          <w:i w:val="false"/>
          <w:color w:val="000000"/>
          <w:sz w:val="28"/>
        </w:rPr>
        <w:t xml:space="preserve">
     12. </w:t>
      </w:r>
      <w:r>
        <w:rPr>
          <w:rFonts w:ascii="Times New Roman"/>
          <w:b w:val="false"/>
          <w:i w:val="false"/>
          <w:color w:val="ff0000"/>
          <w:sz w:val="28"/>
        </w:rPr>
        <w:t xml:space="preserve">исключен - постановлением Правления Агентства РК по регулированию и надзору финансового рынка и финансовых организаций от 27 октября 2006 года </w:t>
      </w:r>
      <w:r>
        <w:rPr>
          <w:rFonts w:ascii="Times New Roman"/>
          <w:b w:val="false"/>
          <w:i w:val="false"/>
          <w:color w:val="000000"/>
          <w:sz w:val="28"/>
        </w:rPr>
        <w:t xml:space="preserve">N 228 </w:t>
      </w:r>
      <w:r>
        <w:rPr>
          <w:rFonts w:ascii="Times New Roman"/>
          <w:b w:val="false"/>
          <w:i w:val="false"/>
          <w:color w:val="ff0000"/>
          <w:sz w:val="28"/>
        </w:rPr>
        <w:t xml:space="preserve">(вводится в действие по истечении 14 дней со дня гос. регистрации) </w:t>
      </w:r>
    </w:p>
    <w:bookmarkEnd w:id="20"/>
    <w:bookmarkStart w:name="z20" w:id="21"/>
    <w:p>
      <w:pPr>
        <w:spacing w:after="0"/>
        <w:ind w:left="0"/>
        <w:jc w:val="both"/>
      </w:pPr>
      <w:r>
        <w:rPr>
          <w:rFonts w:ascii="Times New Roman"/>
          <w:b w:val="false"/>
          <w:i w:val="false"/>
          <w:color w:val="000000"/>
          <w:sz w:val="28"/>
        </w:rPr>
        <w:t xml:space="preserve">
     13. На рабочем месте пользователя в обязательном порядке должно быть установлено антивирусное программное обеспечение с регулярно обновляемой антивирусной базой. </w:t>
      </w:r>
      <w:r>
        <w:br/>
      </w:r>
      <w:r>
        <w:rPr>
          <w:rFonts w:ascii="Times New Roman"/>
          <w:b w:val="false"/>
          <w:i w:val="false"/>
          <w:color w:val="000000"/>
          <w:sz w:val="28"/>
        </w:rPr>
        <w:t>
</w:t>
      </w:r>
      <w:r>
        <w:rPr>
          <w:rFonts w:ascii="Times New Roman"/>
          <w:b w:val="false"/>
          <w:i w:val="false"/>
          <w:color w:val="000000"/>
          <w:sz w:val="28"/>
        </w:rPr>
        <w:t xml:space="preserve">
     14. На персональном компьютере пользователя, используемом для проведения операций, запрещается установка программных средств, не предназначенных для решения задач по подготовке, обработке, передаче или ведению электронных документов. </w:t>
      </w:r>
      <w:r>
        <w:br/>
      </w:r>
      <w:r>
        <w:rPr>
          <w:rFonts w:ascii="Times New Roman"/>
          <w:b w:val="false"/>
          <w:i w:val="false"/>
          <w:color w:val="000000"/>
          <w:sz w:val="28"/>
        </w:rPr>
        <w:t>
</w:t>
      </w:r>
      <w:r>
        <w:rPr>
          <w:rFonts w:ascii="Times New Roman"/>
          <w:b w:val="false"/>
          <w:i w:val="false"/>
          <w:color w:val="000000"/>
          <w:sz w:val="28"/>
        </w:rPr>
        <w:t xml:space="preserve">
     15. Одному системному имени пользователя, по которому идентифицируется пользователь при входе в программную среду, должно соответствовать одно физическое лицо. </w:t>
      </w:r>
      <w:r>
        <w:br/>
      </w:r>
      <w:r>
        <w:rPr>
          <w:rFonts w:ascii="Times New Roman"/>
          <w:b w:val="false"/>
          <w:i w:val="false"/>
          <w:color w:val="000000"/>
          <w:sz w:val="28"/>
        </w:rPr>
        <w:t>
</w:t>
      </w:r>
      <w:r>
        <w:rPr>
          <w:rFonts w:ascii="Times New Roman"/>
          <w:b w:val="false"/>
          <w:i w:val="false"/>
          <w:color w:val="000000"/>
          <w:sz w:val="28"/>
        </w:rPr>
        <w:t xml:space="preserve">
     16. Системный блок персонального компьютера пользователя должен быть опечатан или опломбирован ответственным лицом профессионального участника рынка ценных бумаг. В случае необходимости, допуск к системному блоку осуществляется в присутствии ответственного лица. По окончании работ системный блок опечатывается либо пломбируется ответственным лицом. </w:t>
      </w:r>
      <w:r>
        <w:br/>
      </w:r>
      <w:r>
        <w:rPr>
          <w:rFonts w:ascii="Times New Roman"/>
          <w:b w:val="false"/>
          <w:i w:val="false"/>
          <w:color w:val="000000"/>
          <w:sz w:val="28"/>
        </w:rPr>
        <w:t>
</w:t>
      </w:r>
      <w:r>
        <w:rPr>
          <w:rFonts w:ascii="Times New Roman"/>
          <w:b w:val="false"/>
          <w:i w:val="false"/>
          <w:color w:val="000000"/>
          <w:sz w:val="28"/>
        </w:rPr>
        <w:t xml:space="preserve">
     17. Порядок доступа к ресурсам (дисковое пространство, директории, сетевые ресурсы, базы данных и другие), выделенным для накопления в них информации для передачи в информационную среду с использованием системы защиты, получения информации из информационной среды, хранения, архивирования либо другой обработки информации, должен исключать возможность несанкционированного доступа к этим ресурсам. </w:t>
      </w:r>
      <w:r>
        <w:br/>
      </w:r>
      <w:r>
        <w:rPr>
          <w:rFonts w:ascii="Times New Roman"/>
          <w:b w:val="false"/>
          <w:i w:val="false"/>
          <w:color w:val="000000"/>
          <w:sz w:val="28"/>
        </w:rPr>
        <w:t>
</w:t>
      </w:r>
      <w:r>
        <w:rPr>
          <w:rFonts w:ascii="Times New Roman"/>
          <w:b w:val="false"/>
          <w:i w:val="false"/>
          <w:color w:val="000000"/>
          <w:sz w:val="28"/>
        </w:rPr>
        <w:t xml:space="preserve">
       17-1. В целях обеспечения бесперебойности и непрерывности функционирования программного обеспечения предусматривается наличие не менее двух источников бесперебойного электрического питания, один из которых используется в качестве основного, а остальные – в качестве резервных, либо единственный источник бесперебойного электрического питания, с наличием резервного генератора, готовым к немедленной активации. </w:t>
      </w:r>
      <w:r>
        <w:br/>
      </w:r>
      <w:r>
        <w:rPr>
          <w:rFonts w:ascii="Times New Roman"/>
          <w:b w:val="false"/>
          <w:i w:val="false"/>
          <w:color w:val="000000"/>
          <w:sz w:val="28"/>
        </w:rPr>
        <w:t xml:space="preserve">
       </w:t>
      </w:r>
      <w:r>
        <w:rPr>
          <w:rFonts w:ascii="Times New Roman"/>
          <w:b w:val="false"/>
          <w:i w:val="false"/>
          <w:color w:val="ff0000"/>
          <w:sz w:val="28"/>
        </w:rPr>
        <w:t xml:space="preserve">Сноска. Глава 2 дополнена пунктом 17-1 в соответствии с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 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17-2. Серверное и клиентское аппаратное обеспечение для осуществления деятельности по ведению систем реестров держателей ценных бумаг имеет в своем составе резервное оборудование, готовое к немедленной активизации в случае повреждения, уничтожения или невозможности использования основного оборудования. При этом помещение с серверным оборудованием оснащается системой контроля доступа. </w:t>
      </w:r>
      <w:r>
        <w:br/>
      </w:r>
      <w:r>
        <w:rPr>
          <w:rFonts w:ascii="Times New Roman"/>
          <w:b w:val="false"/>
          <w:i w:val="false"/>
          <w:color w:val="000000"/>
          <w:sz w:val="28"/>
        </w:rPr>
        <w:t xml:space="preserve">
       </w:t>
      </w:r>
      <w:r>
        <w:rPr>
          <w:rFonts w:ascii="Times New Roman"/>
          <w:b w:val="false"/>
          <w:i w:val="false"/>
          <w:color w:val="ff0000"/>
          <w:sz w:val="28"/>
        </w:rPr>
        <w:t xml:space="preserve">Сноска. Глава 2 дополнена пунктом 17-2 в соответствии с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 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21"/>
    <w:bookmarkStart w:name="z21" w:id="22"/>
    <w:p>
      <w:pPr>
        <w:spacing w:after="0"/>
        <w:ind w:left="0"/>
        <w:jc w:val="left"/>
      </w:pPr>
      <w:r>
        <w:rPr>
          <w:rFonts w:ascii="Times New Roman"/>
          <w:b/>
          <w:i w:val="false"/>
          <w:color w:val="000000"/>
        </w:rPr>
        <w:t xml:space="preserve"> 
Глава 3. Заключительные положения </w:t>
      </w:r>
    </w:p>
    <w:bookmarkEnd w:id="22"/>
    <w:p>
      <w:pPr>
        <w:spacing w:after="0"/>
        <w:ind w:left="0"/>
        <w:jc w:val="both"/>
      </w:pPr>
      <w:r>
        <w:rPr>
          <w:rFonts w:ascii="Times New Roman"/>
          <w:b w:val="false"/>
          <w:i w:val="false"/>
          <w:color w:val="000000"/>
          <w:sz w:val="28"/>
        </w:rPr>
        <w:t xml:space="preserve">     18. Вопросы, не урегулированные настоящей Инструкцией подлежат разрешению в соответствии с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