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ffcd" w14:textId="219ff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запросов банкам и организациям,  осуществляющим отдельные виды банковских операций, для предоставления сведений в отношении бездействующего юридического лица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26 сентября 2005 года N 433. Зарегистрирован в Министерстве юстиции Республики Казахстан от 18 октября 2005 года N 3900. Утратил силу приказом Министра финансов Республики Казахстан от 29 декабря 2008 года N 625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29.12.2008 N 625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подпункта 9) пункта 1 
</w:t>
      </w:r>
      <w:r>
        <w:rPr>
          <w:rFonts w:ascii="Times New Roman"/>
          <w:b w:val="false"/>
          <w:i w:val="false"/>
          <w:color w:val="000000"/>
          <w:sz w:val="28"/>
        </w:rPr>
        <w:t xml:space="preserve"> статьи 16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направления запросов банкам и организациям, осуществляющим отдельные виды банковских операций, для предоставления сведений в отношении бездействующего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налогового администрирования Налогового комитета Министерства финансов Республики Казахстан (Кипшаков А.М.)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заместителя Председателя Налогового комитета Министерства финансов Республики Казахстан Усенову Н.Д.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регулированию
</w:t>
      </w:r>
      <w:r>
        <w:br/>
      </w:r>
      <w:r>
        <w:rPr>
          <w:rFonts w:ascii="Times New Roman"/>
          <w:b w:val="false"/>
          <w:i w:val="false"/>
          <w:color w:val="000000"/>
          <w:sz w:val="28"/>
        </w:rPr>
        <w:t>
      и надзору финансового рынка 
</w:t>
      </w:r>
      <w:r>
        <w:br/>
      </w:r>
      <w:r>
        <w:rPr>
          <w:rFonts w:ascii="Times New Roman"/>
          <w:b w:val="false"/>
          <w:i w:val="false"/>
          <w:color w:val="000000"/>
          <w:sz w:val="28"/>
        </w:rPr>
        <w:t>
      и финансовых организаций
</w:t>
      </w:r>
      <w:r>
        <w:br/>
      </w:r>
      <w:r>
        <w:rPr>
          <w:rFonts w:ascii="Times New Roman"/>
          <w:b w:val="false"/>
          <w:i w:val="false"/>
          <w:color w:val="000000"/>
          <w:sz w:val="28"/>
        </w:rPr>
        <w:t>
      20 сентября 2005 год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26 сентября 2005 года  
</w:t>
      </w:r>
      <w:r>
        <w:br/>
      </w:r>
      <w:r>
        <w:rPr>
          <w:rFonts w:ascii="Times New Roman"/>
          <w:b w:val="false"/>
          <w:i w:val="false"/>
          <w:color w:val="000000"/>
          <w:sz w:val="28"/>
        </w:rPr>
        <w:t>
N 433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направления запросов банкам и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осуществляющим отдельные виды банковских операций,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сведений в отношении бездействующего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со 
</w:t>
      </w:r>
      <w:r>
        <w:rPr>
          <w:rFonts w:ascii="Times New Roman"/>
          <w:b w:val="false"/>
          <w:i w:val="false"/>
          <w:color w:val="000000"/>
          <w:sz w:val="28"/>
        </w:rPr>
        <w:t xml:space="preserve"> статьей 16 </w:t>
      </w:r>
      <w:r>
        <w:rPr>
          <w:rFonts w:ascii="Times New Roman"/>
          <w:b w:val="false"/>
          <w:i w:val="false"/>
          <w:color w:val="000000"/>
          <w:sz w:val="28"/>
        </w:rPr>
        <w:t>
 Кодекса Республики Казахстан "О налогах и других обязательных платежах в бюджет" (Налоговый кодекс) и определяют порядок направления запросов органами налоговой службы и предоставления банками и организациями, осуществляющими отдельные виды банковских операций, сведений о наличии и номерах банковских счетов бездействующих юридических лиц, об остатках и движении денег на этих счетах (далее - информация).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Бездействующим юридическим лицом согласно пункту 2 
</w:t>
      </w:r>
      <w:r>
        <w:rPr>
          <w:rFonts w:ascii="Times New Roman"/>
          <w:b w:val="false"/>
          <w:i w:val="false"/>
          <w:color w:val="000000"/>
          <w:sz w:val="28"/>
        </w:rPr>
        <w:t xml:space="preserve"> статьи 525 </w:t>
      </w:r>
      <w:r>
        <w:rPr>
          <w:rFonts w:ascii="Times New Roman"/>
          <w:b w:val="false"/>
          <w:i w:val="false"/>
          <w:color w:val="000000"/>
          <w:sz w:val="28"/>
        </w:rPr>
        <w:t>
 Налогового кодекса признается юридическое лицо, не представившее декларацию по корпоративному подоходному налогу или упрощенную декларацию по истечении одного года после установленного Налоговым кодексом срока их представления, за исключением налогоплательщиков, на которых не распространяются требования по представлению указанных деклараций.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Процедура определения бездействующего юридического лица для условного исключения из Государственного реестра налогоплательщиков Республики Казахстан осуществляется один раз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4. Для получения информации в отношении бездействующих юридических лиц Налоговый комитет направляет запрос в банки и организации, осуществляющие отдельные виды банковских операций, в электронном виде с использованием информационных технологий и осуществляет контроль за его исполнением.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5. Информация предоставляется в централизованном порядке в Налоговый комитет Министерства финансов Республики Казахстан (далее - Налоговый комитет) банками и организациями, осуществляющими отдельные виды банковских операций, в электронном виде с использованием информационных технологий в Xml-формате на основании полученных запросов.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Банки и организации, осуществляющие отдельные виды банковских операций, в течение тридцати календарных дней со дня получения запроса представляют в Налоговый комитет информацию по каждому бездействующему юридическому лицу по форме согласно приложению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7. Информация представляется на дату ее отправки по всем банковским счетам бездействующего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8. Информация от банков и организаций, осуществляющих отдельные виды банковских операций, поступает на центральный уровень информационной системы Налогового комитета и направляется в налоговые органы по месту регистрации бездействующего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9. Налоговые органы при получении информации в отношении бездействующего юридического лица принимают меры, предусмотренные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Вопросы, не урегулированные настоящими Правилами, решаются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Правилам направления запросов   
</w:t>
      </w:r>
      <w:r>
        <w:br/>
      </w:r>
      <w:r>
        <w:rPr>
          <w:rFonts w:ascii="Times New Roman"/>
          <w:b w:val="false"/>
          <w:i w:val="false"/>
          <w:color w:val="000000"/>
          <w:sz w:val="28"/>
        </w:rPr>
        <w:t>
банкам и организациям,            
</w:t>
      </w:r>
      <w:r>
        <w:br/>
      </w:r>
      <w:r>
        <w:rPr>
          <w:rFonts w:ascii="Times New Roman"/>
          <w:b w:val="false"/>
          <w:i w:val="false"/>
          <w:color w:val="000000"/>
          <w:sz w:val="28"/>
        </w:rPr>
        <w:t>
осуществляющим отдельные виды     
</w:t>
      </w:r>
      <w:r>
        <w:br/>
      </w:r>
      <w:r>
        <w:rPr>
          <w:rFonts w:ascii="Times New Roman"/>
          <w:b w:val="false"/>
          <w:i w:val="false"/>
          <w:color w:val="000000"/>
          <w:sz w:val="28"/>
        </w:rPr>
        <w:t>
банковских операций, для          
</w:t>
      </w:r>
      <w:r>
        <w:br/>
      </w:r>
      <w:r>
        <w:rPr>
          <w:rFonts w:ascii="Times New Roman"/>
          <w:b w:val="false"/>
          <w:i w:val="false"/>
          <w:color w:val="000000"/>
          <w:sz w:val="28"/>
        </w:rPr>
        <w:t>
предоставления сведений в         
</w:t>
      </w:r>
      <w:r>
        <w:br/>
      </w:r>
      <w:r>
        <w:rPr>
          <w:rFonts w:ascii="Times New Roman"/>
          <w:b w:val="false"/>
          <w:i w:val="false"/>
          <w:color w:val="000000"/>
          <w:sz w:val="28"/>
        </w:rPr>
        <w:t>
 отношении бездействующего         
</w:t>
      </w:r>
      <w:r>
        <w:br/>
      </w:r>
      <w:r>
        <w:rPr>
          <w:rFonts w:ascii="Times New Roman"/>
          <w:b w:val="false"/>
          <w:i w:val="false"/>
          <w:color w:val="000000"/>
          <w:sz w:val="28"/>
        </w:rPr>
        <w:t>
юридического лица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наличии и номерах банковских счетов,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остатках и движении денег на счетах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бездействующих юридических лиц за период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"__" _______ 200_ года по "__" _______ 200_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33"/>
        <w:gridCol w:w="1853"/>
        <w:gridCol w:w="1153"/>
        <w:gridCol w:w="1013"/>
        <w:gridCol w:w="1973"/>
        <w:gridCol w:w="1913"/>
        <w:gridCol w:w="1613"/>
      </w:tblGrid>
      <w:tr>
        <w:trPr>
          <w:trHeight w:val="90" w:hRule="atLeast"/>
        </w:trPr>
        <w:tc>
          <w:tcPr>
            <w:tcW w:w="8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Бездей-
</w:t>
            </w:r>
            <w:r>
              <w:br/>
            </w:r>
            <w:r>
              <w:rPr>
                <w:rFonts w:ascii="Times New Roman"/>
                <w:b w:val="false"/>
                <w:i w:val="false"/>
                <w:color w:val="000000"/>
                <w:sz w:val="20"/>
              </w:rPr>
              <w:t>
ствующее
</w:t>
            </w:r>
            <w:r>
              <w:br/>
            </w:r>
            <w:r>
              <w:rPr>
                <w:rFonts w:ascii="Times New Roman"/>
                <w:b w:val="false"/>
                <w:i w:val="false"/>
                <w:color w:val="000000"/>
                <w:sz w:val="20"/>
              </w:rPr>
              <w:t>
юридическое
</w:t>
            </w:r>
            <w:r>
              <w:br/>
            </w:r>
            <w:r>
              <w:rPr>
                <w:rFonts w:ascii="Times New Roman"/>
                <w:b w:val="false"/>
                <w:i w:val="false"/>
                <w:color w:val="000000"/>
                <w:sz w:val="20"/>
              </w:rPr>
              <w:t>
лицо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банка,
</w:t>
            </w:r>
            <w:r>
              <w:br/>
            </w:r>
            <w:r>
              <w:rPr>
                <w:rFonts w:ascii="Times New Roman"/>
                <w:b w:val="false"/>
                <w:i w:val="false"/>
                <w:color w:val="000000"/>
                <w:sz w:val="20"/>
              </w:rPr>
              <w:t>
его структурных
</w:t>
            </w:r>
            <w:r>
              <w:br/>
            </w:r>
            <w:r>
              <w:rPr>
                <w:rFonts w:ascii="Times New Roman"/>
                <w:b w:val="false"/>
                <w:i w:val="false"/>
                <w:color w:val="000000"/>
                <w:sz w:val="20"/>
              </w:rPr>
              <w:t>
подразделений, в
</w:t>
            </w:r>
            <w:r>
              <w:br/>
            </w:r>
            <w:r>
              <w:rPr>
                <w:rFonts w:ascii="Times New Roman"/>
                <w:b w:val="false"/>
                <w:i w:val="false"/>
                <w:color w:val="000000"/>
                <w:sz w:val="20"/>
              </w:rPr>
              <w:t>
котором открыты
</w:t>
            </w:r>
            <w:r>
              <w:br/>
            </w:r>
            <w:r>
              <w:rPr>
                <w:rFonts w:ascii="Times New Roman"/>
                <w:b w:val="false"/>
                <w:i w:val="false"/>
                <w:color w:val="000000"/>
                <w:sz w:val="20"/>
              </w:rPr>
              <w:t>
банковские счета
</w:t>
            </w:r>
          </w:p>
        </w:tc>
        <w:tc>
          <w:tcPr>
            <w:tcW w:w="1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счета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r>
              <w:br/>
            </w:r>
            <w:r>
              <w:rPr>
                <w:rFonts w:ascii="Times New Roman"/>
                <w:b w:val="false"/>
                <w:i w:val="false"/>
                <w:color w:val="000000"/>
                <w:sz w:val="20"/>
              </w:rPr>
              <w:t>
счета
</w:t>
            </w:r>
          </w:p>
        </w:tc>
      </w:tr>
      <w:tr>
        <w:trPr>
          <w:trHeight w:val="58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253"/>
        <w:gridCol w:w="1273"/>
        <w:gridCol w:w="1673"/>
        <w:gridCol w:w="1533"/>
        <w:gridCol w:w="1733"/>
      </w:tblGrid>
      <w:tr>
        <w:trPr>
          <w:trHeight w:val="90" w:hRule="atLeast"/>
        </w:trPr>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счета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денег на
</w:t>
            </w:r>
            <w:r>
              <w:br/>
            </w:r>
            <w:r>
              <w:rPr>
                <w:rFonts w:ascii="Times New Roman"/>
                <w:b w:val="false"/>
                <w:i w:val="false"/>
                <w:color w:val="000000"/>
                <w:sz w:val="20"/>
              </w:rPr>
              <w:t>
банковском
</w:t>
            </w:r>
            <w:r>
              <w:br/>
            </w:r>
            <w:r>
              <w:rPr>
                <w:rFonts w:ascii="Times New Roman"/>
                <w:b w:val="false"/>
                <w:i w:val="false"/>
                <w:color w:val="000000"/>
                <w:sz w:val="20"/>
              </w:rPr>
              <w:t>
счете на
</w:t>
            </w:r>
            <w:r>
              <w:br/>
            </w:r>
            <w:r>
              <w:rPr>
                <w:rFonts w:ascii="Times New Roman"/>
                <w:b w:val="false"/>
                <w:i w:val="false"/>
                <w:color w:val="000000"/>
                <w:sz w:val="20"/>
              </w:rPr>
              <w:t>
начало
</w:t>
            </w:r>
            <w:r>
              <w:br/>
            </w:r>
            <w:r>
              <w:rPr>
                <w:rFonts w:ascii="Times New Roman"/>
                <w:b w:val="false"/>
                <w:i w:val="false"/>
                <w:color w:val="000000"/>
                <w:sz w:val="20"/>
              </w:rPr>
              <w:t>
периода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отправитель
</w:t>
            </w:r>
            <w:r>
              <w:br/>
            </w:r>
            <w:r>
              <w:rPr>
                <w:rFonts w:ascii="Times New Roman"/>
                <w:b w:val="false"/>
                <w:i w:val="false"/>
                <w:color w:val="000000"/>
                <w:sz w:val="20"/>
              </w:rPr>
              <w:t>
денег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2498"/>
        <w:gridCol w:w="2400"/>
        <w:gridCol w:w="1633"/>
        <w:gridCol w:w="1791"/>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денег на банковских счетах
</w:t>
            </w:r>
            <w:r>
              <w:br/>
            </w:r>
            <w:r>
              <w:rPr>
                <w:rFonts w:ascii="Times New Roman"/>
                <w:b w:val="false"/>
                <w:i w:val="false"/>
                <w:color w:val="000000"/>
                <w:sz w:val="20"/>
              </w:rPr>
              <w:t>
бездействующего юридического лица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денег на банковский счет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w:t>
            </w:r>
            <w:r>
              <w:br/>
            </w:r>
            <w:r>
              <w:rPr>
                <w:rFonts w:ascii="Times New Roman"/>
                <w:b w:val="false"/>
                <w:i w:val="false"/>
                <w:color w:val="000000"/>
                <w:sz w:val="20"/>
              </w:rPr>
              <w:t>
денег с 
</w:t>
            </w:r>
            <w:r>
              <w:br/>
            </w:r>
            <w:r>
              <w:rPr>
                <w:rFonts w:ascii="Times New Roman"/>
                <w:b w:val="false"/>
                <w:i w:val="false"/>
                <w:color w:val="000000"/>
                <w:sz w:val="20"/>
              </w:rPr>
              <w:t>
банковского
</w:t>
            </w:r>
            <w:r>
              <w:br/>
            </w:r>
            <w:r>
              <w:rPr>
                <w:rFonts w:ascii="Times New Roman"/>
                <w:b w:val="false"/>
                <w:i w:val="false"/>
                <w:color w:val="000000"/>
                <w:sz w:val="20"/>
              </w:rPr>
              <w:t>
счета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банка-отправителя
</w:t>
            </w:r>
          </w:p>
        </w:tc>
        <w:tc>
          <w:tcPr>
            <w:tcW w:w="24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
</w:t>
            </w:r>
            <w:r>
              <w:br/>
            </w:r>
            <w:r>
              <w:rPr>
                <w:rFonts w:ascii="Times New Roman"/>
                <w:b w:val="false"/>
                <w:i w:val="false"/>
                <w:color w:val="000000"/>
                <w:sz w:val="20"/>
              </w:rPr>
              <w:t>
чение
</w:t>
            </w:r>
            <w:r>
              <w:br/>
            </w:r>
            <w:r>
              <w:rPr>
                <w:rFonts w:ascii="Times New Roman"/>
                <w:b w:val="false"/>
                <w:i w:val="false"/>
                <w:color w:val="000000"/>
                <w:sz w:val="20"/>
              </w:rPr>
              <w:t>
платежа
</w:t>
            </w:r>
          </w:p>
        </w:tc>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платежа
</w:t>
            </w:r>
          </w:p>
        </w:tc>
      </w:tr>
      <w:tr>
        <w:trPr>
          <w:trHeight w:val="90" w:hRule="atLeast"/>
        </w:trPr>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713"/>
        <w:gridCol w:w="833"/>
        <w:gridCol w:w="1093"/>
        <w:gridCol w:w="1853"/>
        <w:gridCol w:w="1773"/>
        <w:gridCol w:w="225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денег на
</w:t>
            </w:r>
            <w:r>
              <w:br/>
            </w:r>
            <w:r>
              <w:rPr>
                <w:rFonts w:ascii="Times New Roman"/>
                <w:b w:val="false"/>
                <w:i w:val="false"/>
                <w:color w:val="000000"/>
                <w:sz w:val="20"/>
              </w:rPr>
              <w:t>
банковском
</w:t>
            </w:r>
            <w:r>
              <w:br/>
            </w:r>
            <w:r>
              <w:rPr>
                <w:rFonts w:ascii="Times New Roman"/>
                <w:b w:val="false"/>
                <w:i w:val="false"/>
                <w:color w:val="000000"/>
                <w:sz w:val="20"/>
              </w:rPr>
              <w:t>
счете на
</w:t>
            </w:r>
            <w:r>
              <w:br/>
            </w:r>
            <w:r>
              <w:rPr>
                <w:rFonts w:ascii="Times New Roman"/>
                <w:b w:val="false"/>
                <w:i w:val="false"/>
                <w:color w:val="000000"/>
                <w:sz w:val="20"/>
              </w:rPr>
              <w:t>
конец
</w:t>
            </w:r>
            <w:r>
              <w:br/>
            </w:r>
            <w:r>
              <w:rPr>
                <w:rFonts w:ascii="Times New Roman"/>
                <w:b w:val="false"/>
                <w:i w:val="false"/>
                <w:color w:val="000000"/>
                <w:sz w:val="20"/>
              </w:rPr>
              <w:t>
периода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
</w:t>
            </w:r>
            <w:r>
              <w:br/>
            </w:r>
            <w:r>
              <w:rPr>
                <w:rFonts w:ascii="Times New Roman"/>
                <w:b w:val="false"/>
                <w:i w:val="false"/>
                <w:color w:val="000000"/>
                <w:sz w:val="20"/>
              </w:rPr>
              <w:t>
чение
</w:t>
            </w:r>
            <w:r>
              <w:br/>
            </w:r>
            <w:r>
              <w:rPr>
                <w:rFonts w:ascii="Times New Roman"/>
                <w:b w:val="false"/>
                <w:i w:val="false"/>
                <w:color w:val="000000"/>
                <w:sz w:val="20"/>
              </w:rPr>
              <w:t>
платежа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получатель
</w:t>
            </w:r>
            <w:r>
              <w:br/>
            </w:r>
            <w:r>
              <w:rPr>
                <w:rFonts w:ascii="Times New Roman"/>
                <w:b w:val="false"/>
                <w:i w:val="false"/>
                <w:color w:val="000000"/>
                <w:sz w:val="20"/>
              </w:rPr>
              <w:t>
денег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банка-получателя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