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c96b" w14:textId="89bc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акциза на игорный бизнес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6 декабря 2005 года N 24-166. Зарегистрировано Департаментом юстиции Алматинской области 13 января 2006 года N 1957. Утратило силу решением маслихата Алматинской области от 29 декабря 2008 года N 16-105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Алматинской области от 29 декабря 2008 года N 16-105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4, </w:t>
      </w:r>
      <w:r>
        <w:rPr>
          <w:rFonts w:ascii="Times New Roman"/>
          <w:b w:val="false"/>
          <w:i w:val="false"/>
          <w:color w:val="000000"/>
          <w:sz w:val="28"/>
        </w:rPr>
        <w:t>статьи 258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внесении изменений в постановление Правительства Республики Казахстан от 28 января 2000 года N 137" от 5 октября 2005 года N 1001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акциза на игорный бизнес,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Алматинского областного маслихата от 24 июня 2002 года N 22-144 "Об утверждении ставок акциза на игорный бизнес" зарегистрированного в реестре государственной регистрации нормативных правовых актов за N 76 от 26 июля 2002 года и решение Алматинского областного маслихата от 26 декабря 2002 года N 31-166 "О внесении дополнений в решение Алматинского областного маслихата N 22-144 от 24 июня 2002 года "Об утверждении ставок акциза на игорный бизнес" зарегистрированного в реестре государственной регистрации нормативных правовых актов за N 982 от 17 января 2003 года,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10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 Умбетова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ставок акциза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игорный бизнес"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г. N 24-166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ставок акцизов для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
(в МРП)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93"/>
        <w:gridCol w:w="2453"/>
        <w:gridCol w:w="2453"/>
        <w:gridCol w:w="2393"/>
      </w:tblGrid>
      <w:tr>
        <w:trPr>
          <w:trHeight w:val="69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4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Стоимость ставок акцизов для игорного бизнеса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категория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категория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категория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Казино (за 1 игровой стол)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Карточный стол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игровой стол (игорное заведение как организатор и (или) наблюдатель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автоматы с денежным выигрышем (за 1 игровой автомат)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тотализатора (за 1 кассу)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букмекерской конторы (за 1 кассу)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лотерей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заявленной выручки за минусом сумм, относимых в призовой фонд без включения в нее суммы акциза.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 </w:t>
      </w:r>
      <w:r>
        <w:rPr>
          <w:rFonts w:ascii="Times New Roman"/>
          <w:b/>
          <w:i w:val="false"/>
          <w:color w:val="000000"/>
          <w:sz w:val="28"/>
        </w:rPr>
        <w:t xml:space="preserve">категория: </w:t>
      </w:r>
      <w:r>
        <w:rPr>
          <w:rFonts w:ascii="Times New Roman"/>
          <w:b w:val="false"/>
          <w:i w:val="false"/>
          <w:color w:val="000000"/>
          <w:sz w:val="28"/>
        </w:rPr>
        <w:t>Илийский, Карасайский,Талгарский, Енбекшиказахский районы и город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 </w:t>
      </w:r>
      <w:r>
        <w:rPr>
          <w:rFonts w:ascii="Times New Roman"/>
          <w:b/>
          <w:i w:val="false"/>
          <w:color w:val="000000"/>
          <w:sz w:val="28"/>
        </w:rPr>
        <w:t xml:space="preserve">категория: </w:t>
      </w:r>
      <w:r>
        <w:rPr>
          <w:rFonts w:ascii="Times New Roman"/>
          <w:b w:val="false"/>
          <w:i w:val="false"/>
          <w:color w:val="000000"/>
          <w:sz w:val="28"/>
        </w:rPr>
        <w:t>Жамбылский, Панфиловский районы и город Капшагай;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 </w:t>
      </w:r>
      <w:r>
        <w:rPr>
          <w:rFonts w:ascii="Times New Roman"/>
          <w:b/>
          <w:i w:val="false"/>
          <w:color w:val="000000"/>
          <w:sz w:val="28"/>
        </w:rPr>
        <w:t xml:space="preserve">категория: </w:t>
      </w:r>
      <w:r>
        <w:rPr>
          <w:rFonts w:ascii="Times New Roman"/>
          <w:b w:val="false"/>
          <w:i w:val="false"/>
          <w:color w:val="000000"/>
          <w:sz w:val="28"/>
        </w:rPr>
        <w:t>Аксуский, Алакольский, Балхашский, Каратальский, Коксуский, Кербулакский, Раймбекский, Саркандский, Ескельдинский, Уйгурский районы и город Текели.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