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3bb3" w14:textId="5ef3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22 декабря 2004 года N 9/118-III "О ставках платы за лесные 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XIII сессии Восточно-Казахстанского областного маслихата III созыва от 18 октября 2005 года N 13/196-III. Зарегистрировано Департаментом юстиции Восточно-Казахстанской области 29 октября 2005 года за N 2399. Утратило силу решением ВКО маслихата от 21 декабря 2009 года № 17/226-IV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решением ВКО маслихата от 21.12.2009 года </w:t>
      </w:r>
      <w:r>
        <w:rPr>
          <w:rFonts w:ascii="Times New Roman"/>
          <w:b w:val="false"/>
          <w:i w:val="false"/>
          <w:color w:val="000000"/>
          <w:sz w:val="28"/>
        </w:rPr>
        <w:t>№ 17/226-IV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88, </w:t>
      </w:r>
      <w:r>
        <w:rPr>
          <w:rFonts w:ascii="Times New Roman"/>
          <w:b w:val="false"/>
          <w:i w:val="false"/>
          <w:color w:val="000000"/>
          <w:sz w:val="28"/>
        </w:rPr>
        <w:t xml:space="preserve">  105 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Лесного кодекса Республики Казахстан, статьями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470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473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 налогах и других обязательных платежах в бюджет",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 Восточно-Казахстанский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Восточно-Казахстанского областного маслихата "О ставках платы за лесные пользования" от 22 декабря 2004 года N 9/118-III (регистрационный N 2095, опубликовано в газетах "Дидар" от 8 января 2005 года N 2-3, "Рудный Алтай" от 8 января 2005 года N 3-4)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приложении 2 к указанному решению раздел 5 "Размещение ульев и пасек" изложить в следующей редакции: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2553"/>
        <w:gridCol w:w="2433"/>
      </w:tblGrid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Размещение ульев и пасек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ульев при краткосрочном лесопользовании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кв.м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пасек при долгосрочном лесопользовании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решение вступает в силу со дня государственной регистрации в департаменте юстиции Восточно-Казахстанской области.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/>
          <w:i/>
          <w:color w:val="000000"/>
          <w:sz w:val="28"/>
        </w:rPr>
        <w:t xml:space="preserve">Председатель сессии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/>
          <w:i/>
          <w:color w:val="000000"/>
          <w:sz w:val="28"/>
        </w:rPr>
        <w:t xml:space="preserve">Секретарь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/>
          <w:i/>
          <w:color w:val="000000"/>
          <w:sz w:val="28"/>
        </w:rPr>
        <w:t xml:space="preserve">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