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dbaf1" w14:textId="42dba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административно-территориальную единицу Кызылкогинского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акима Атырауской области от 5 апреля 2006 года N 21 и Атырауского областного маслихата от 7 апреля 2006 года N 300-III. Зарегистрировано Департаментом юстиции Атырауской области 25 апреля 2006 года N 2460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8 декабря 1993 года N 4200 "Об административно-территориальном устройстве Республики Казахстан" и на основании совместного решения Кызылкогинского районного маслихата и акима Кызылкогинского района от 17 февраля 2006 года ХХІІ-І областной маслихат и аким области решили 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Образовать Тайсойганский сельский округ Кызылкогинского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совместным решениями акима Атырауской области от 9.10.2014 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Атырауского областного маслихата от 10.10.2014 № 326-V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Изменить границы Кызылкогинского сельского округа Кызылкогинского района с передачей территории общей площадью 75711 га Тайсойганскому сельскому округу.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совместным решениями акима Атырауской области от 9.10.2014 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ff0000"/>
          <w:sz w:val="28"/>
        </w:rPr>
        <w:t xml:space="preserve"> и Атырауского областного маслихата от 10.10.2014 № 326-V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ХХ сессии                Аким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