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841e4" w14:textId="58841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ставках акцизов на игорный бизнес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XXVII сессии Усть-Каменогорского городского Маслихата III созыва от 23 ноября 2006 года N 27/5. Зарегистрировано Управлением юстиции города Усть-Каменогорска Департамента юстиции Восточно-Казахстанской области 11 декабря 2006 года за N 5-1-47. Утратило силу - решением Усть-Каменогорского городского маслихата от 24 июля 2007 года № 35/6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Утратило силу решением Усть-Каменогорского городского маслихата от 24 июля 2007 года № 35/6.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местном государственном управлении в Республике Казахстан" и пунктом 4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258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Республики Казахстан "О налогах и других обязательных платежах в бюджет" Усть-Каменогорский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размеры ставок акцизов на игорный бизнес с единицы объекта налогообложения на территории города Усть-Каменогорска (приложение).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Усть-Каменогорского городского маслихата "О ставках акцизов на игорный бизнес" от 29 ноября 2005 года N 18/3 (регистрационный номер N 5-1-16, опубликовано 1 января 2006 года в газете "Дидар", 5 января 2006 года в газете "Рудный Алтай").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Решение вводится в действие с 1 января 2007 года. </w:t>
      </w:r>
    </w:p>
    <w:p>
      <w:pPr>
        <w:spacing w:after="0"/>
        <w:ind w:left="0"/>
        <w:jc w:val="both"/>
      </w:pPr>
      <w:r>
        <w:rPr>
          <w:rFonts w:ascii="Times New Roman"/>
          <w:b/>
          <w:i/>
          <w:color w:val="000000"/>
          <w:sz w:val="28"/>
        </w:rPr>
        <w:t xml:space="preserve">      Председатель сессии </w:t>
      </w:r>
    </w:p>
    <w:p>
      <w:pPr>
        <w:spacing w:after="0"/>
        <w:ind w:left="0"/>
        <w:jc w:val="both"/>
      </w:pPr>
      <w:r>
        <w:rPr>
          <w:rFonts w:ascii="Times New Roman"/>
          <w:b/>
          <w:i/>
          <w:color w:val="000000"/>
          <w:sz w:val="28"/>
        </w:rPr>
        <w:t xml:space="preserve">      Секретарь городского маслихата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городского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ноября 2006 года N 27/5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О ставках акцизов на игорный бизнес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7913"/>
        <w:gridCol w:w="3553"/>
      </w:tblGrid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№N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Объекты обложения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Размеры ставок акцизов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Игровой стол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МРП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Игровой автомат с денежным выигрышем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МРП 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Касса букмекерской конторы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МРП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Касса тотализатора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МРП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*МРП - месячный расчетный показатель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