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c09b" w14:textId="aafc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экономики и бюджетного планирования Республики Казахстан от 30 апреля 2003 года N 75 "Об утверждении Правил составления и представления бюджетной заявки администраторами бюджетных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экономики и бюджетного планирования Республики Казахстан от 23 февраля 2007 года N 36. Зарегистрирован в Министерстве юстиции Республики Казахстан 16 марта 2007 года N 4574. Утратил силу приказом Министра экономики и бюджетного планирования Республики Казахстан от 1 апреля 2009 года N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экономики и бюджетного планирования РК от 01.04.2009 N 72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экономики и бюджетного планирования Республики Казахстан от 30 апреля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75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составления и представления бюджетной заявки администраторами бюджетных программ" (зарегистрированный в Реестре государственной регистрации нормативных правовых актов за N 2364, в который внесены изменения и дополнения приказами Министра экономики и бюджетного планирования РК от 2 сентября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145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2503; от 20 апреля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за N 2859; от 10 мая 2005 года N 65 - зарегистрированный за N 3645)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составления и представления бюджетной заявки администраторами бюджетных программ,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"для текущих бюджетных программ"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"для текущих бюджетных программ"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"перечня приоритетных бюджетных программ (подпрограмм), включающего приоритетные бюджетные инвестиционные проекты (программы), доведенного уполномоченным органом по бюджетному планированию (далее - уполномоченный орган);";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седьмым и восьмым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"проекта паспортов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результатов оценки эффективности переходящих на планируемый финансовый год бюджетных программ, проведенной администратором программ.";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"Администратор программ обязан вносить бюджетную заявку в уполномоченный орган на бумажном носителе в сброшюрованном виде и в виде электронного документа посредством использования информационной системы центрального уполномоченного органа.";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"3" заменить на цифру "5";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заявки рассматриваются уполномоченным органом, который проводит их оценку в соответствии с бюджетным законодательством Республики Казахстан и готовит по ним соответствующее заключение.";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пятого дополнить абзацами шестым и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несоответствия бюджетной заявки требованиям бюджетного законодательства Республики Казахстан по ее составлению и представлению бюджетная заявка возвращается администратору программ уполномоченным органом, с указанием причин возврата.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информационной системе центрального уполномоченного органа бюджетной заявки и/или несоответствия с бюджетной заявкой, представленной на бумажном носителе, центральный и местные уполномоченные органы возвращают ее администратору программ без рассмотрения.";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3), 4), 5) и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перечень приоритетных бюджетных программ (подпрограмм), включающий приоритетные бюджетные инвестиционные проекты (программы);";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проект паспорта бюджетной программы с уточненными целями, задачами, мероприятиями, сроками выполнения, ожидаемыми результатами, индикаторами на трехлетний период, в зависимости от периода реализации бюджетной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проведенных администратором оценок эффективности бюджетной программы, переходящей на планируемый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информацию о полученных и использованных несвязанных грантах по состоянию на 1 января текущего финансового года в порядке, определяемом центральным уполномоченным органом;";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6-1)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информацию по фактической обеспеченности средствами вычислительной техники и оргтехникой государственного органа и его территориальных подразделений, подписанную главным бухгалтером (начальником финансового отдела) по форме согласно приложению 50-1 к настоящим Правилам.";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Бюджетная заявка администратора программ по программам, включающим расходы в сфере информатизации должна быть представлена согласно формам Инструкции по планированию мероприятий по реализации бюджетных программ в сфере информатизации, утвержденной совместным приказом Министра экономики и бюджетного планирования Республики Казахстан от 22 июня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94 </w:t>
      </w:r>
      <w:r>
        <w:rPr>
          <w:rFonts w:ascii="Times New Roman"/>
          <w:b w:val="false"/>
          <w:i w:val="false"/>
          <w:color w:val="000000"/>
          <w:sz w:val="28"/>
        </w:rPr>
        <w:t>
 и Председателя Агентства Республики Казахстан по информатизации и связи от 17 мая 2004 года N 101-п, зарегистрированный в Реестре государственной регистрации нормативных правовых актов от 12 июня 2004 года за N 2935";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после слов "в их распоряжении," дополнить словами "на соответствующий финансовый год составляется по форме, установленной центральным уполномоченным органом,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10-2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10-3: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"при рассмотрении бюджетной заявки" дополнить словами "уполномоченным органом или";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каждом этапе рассмотрения" дополнить словами "на бумажном носителе и в информационной системе центрального уполномоченного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"10-4. Бюджетная заявка на предстоящий финансовый год представляется администратором бюджетных программ центральному уполномоченному органу до 1 июня текущего финансового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"и ожидаемый результат" заменить словами "ожидаемый результат и индикаторы";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"критерии оценки бюджетной программы: указать показатели (количественные, качественные и др.)" заменить словами "ожидаемые результаты, индикаторы";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11-3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"11-3. Проект паспорта бюджетной программы (подпрограммы) (далее - проект паспорта) является документом, определяющим цели, нормативное правовое основание, задачи, мероприятия, ответственных исполнителей, сроки выполнения, стоимость в национальной валюте, источники финансирования бюджетной программы, ожидаемые результаты, индикаторы.";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11-4: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 втором после слов "сумма расходов" дополнить словами "на планируемый год, если программа развития, то";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"по бюджетным программам, направленным на реализацию приоритетных бюджетных инвестиционных проектов (программ)" заменить словами "приоритетных бюджетных программ (подпрограмм), включающих приоритетные бюджетные инвестиционные проекты (программы)";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3) после слов "в том числе правительственные займы," дополнить словами "связанные гранты,";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подпункта 7) после слов "ожидаемые результаты" дополнить словами "и индикаторы";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разделы 2-2, 2-3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Расчеты расходов по бюджетной программе (подпрограмме), за исключением затрат, направляемых на субсидирование, осуществляются на основании нормативных, количественных, стоимостных показателей бюджетных программ и утвержденных натуральных норм.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бюджетных субсидий определяется как сумма, направляемая на покрытие стоимости деятельности физических, юридических лиц и крестьянских (фермерских) хозяйств за минусом стоимости, покрываемой самими физическими, юридическими лицами и крестьянскими (фермерскими) хозяйствами за счет собственных средств.";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"12-2. Администратор программы должен вносить бюджетную заявку в пределах лимита 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общей стоимости бюджетных программ (подпрограмм) над лимитами расходов администраторы программ в составе бюджетной заявки представляют в центральный уполномоченный орган обоснованные предложения по изменению: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утвержденных государственных, отраслевых (секторальных), региональных программ, в том числе их планов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натуральных норм;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количественных и стоимостных показателей бюджетных программ (подпрограмм).";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13-1 слово "бюджетных"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"13-2. Администраторы программ в составе бюджетной заявки представляют информацию о наличии у организации (организаций) имеющихся основных средств (на основе проведенных инвентаризаций) в разрезе программ и подпрограмм.";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 исключить слова "и приобретению комплектующих и запасных частей для оборудования, и других основных средств";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абзаца второго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графе 1 указывается наименование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вид валюты.";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после слов "в графе" цифру "1" заменить цифрой "3";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цифру "2" заменить цифрой "4";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цифру "3" заменить цифрой "5";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шестом абзаце цифру "4" заменить цифрой "6";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седьмом абзаце цифру "5" заменить цифрой "7";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седьмого абзаца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графе 8 указывается курс тенге по отношению к валюте.";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восьмом абзаце цифру "6" заменить цифрой "9";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 начала" дополнить словами "реализации инвестиционного проекта, в том числе";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"средств по компонентам" дополнить словами "по форме согласно приложению 50-2 к настоящим Правилам";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обоснования и расчеты планируемых расходов по подпрограммам и спецификам бюджетной программы (в разрезе перечня расходов, входящих в специфику).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Администраторами программ прилагаются копии следующих документов (при их наличии):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государственной экспертизы юридического лица, уполномоченного Правительством Республики Казахстан на осуществление государственной экспертизы документации на строительство по технико-экономическому обоснованию либо проектно-сметной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заключенные договора (контракты) на товары, работы, услуги, в том числе по всем компонентам инвестиционного проекта.";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2-2 "Информация о кредиторской задолженности на 01.01._______года" и 2-3 "Информация о дебиторской задолженности на 01.01._______года"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8 (Форма 06-111) "Расчет расходов на основную заработную плату работников государственных учреждений здравоохранения" изложить в редакции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13 (Форма 11-111) "Расчет расходов на основную заработную плату рабочих государственных учреждений" изложить в редакции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20 (Форма 01-121) "Расчет расходов на уплату социального налога" наименование графы 3 таблицы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"Сумма налога в год (гр.2 х гр.3)/1000 - гр.3 в приложении 20-1)";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39 (Форма 01-146) "Расчет расходов по содержанию, обслуживанию, текущему ремонту зданий, помещений, ремонту оборудования и приобретению комплектующих и запасных частей для оборудования, и других основных средств":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исключить слова "и приобретению комплектующих и запасных частей для оборудования, и других основных средств";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исключить строку девятую;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42 (Форма 01-151) "Расчет расходов на служебные командировки внутри страны" в наименовании графы 1 таблицы слова "0,5 х МРП" заменить словами "1 х МРП";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43 (Форма 01-152) "Расчет расходов на служебные командировки за пределы страны" изложить в редакции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50-1 "Информация по фактической обеспеченности средствами вычислительной техники и оргтехники"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50-2 "Информация по освоению средств по договорам"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и функционального анализа (М.М. Бурангалиева) совместно с Юридическим управлением (Д.А. Ешимова)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-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Министерства экономики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2007 года N 36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8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бюджетных заявок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администраторами бюджетных программ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Форма 06-111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Расчет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затрат на основную заработную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плату работников государственных учреждений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                   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данных (прогноз, план, отчет)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 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программ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             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Подпрограмма          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Специфика                                       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 111 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747"/>
        <w:gridCol w:w="766"/>
        <w:gridCol w:w="730"/>
        <w:gridCol w:w="802"/>
        <w:gridCol w:w="712"/>
        <w:gridCol w:w="676"/>
        <w:gridCol w:w="851"/>
        <w:gridCol w:w="707"/>
        <w:gridCol w:w="761"/>
        <w:gridCol w:w="743"/>
        <w:gridCol w:w="924"/>
        <w:gridCol w:w="1325"/>
        <w:gridCol w:w="1800"/>
      </w:tblGrid>
      <w:tr>
        <w:trPr>
          <w:trHeight w:val="375" w:hRule="atLeast"/>
        </w:trPr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единиц
</w:t>
            </w:r>
          </w:p>
        </w:tc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(гр.2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+...+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гр.12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коэфф.)/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+гр.11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+гр.12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24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18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- 1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- 2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- 3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- 4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- 5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- 6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- 7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- 8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- 9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- 10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- 11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- 12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- 13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- 14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1143"/>
        <w:gridCol w:w="1580"/>
        <w:gridCol w:w="1596"/>
        <w:gridCol w:w="1215"/>
        <w:gridCol w:w="1633"/>
        <w:gridCol w:w="1234"/>
        <w:gridCol w:w="1578"/>
        <w:gridCol w:w="1452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
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гр.14+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гр.16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
</w:t>
            </w:r>
          </w:p>
        </w:tc>
      </w:tr>
      <w:tr>
        <w:trPr>
          <w:trHeight w:val="4155" w:hRule="atLeast"/>
        </w:trPr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
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вредными)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опасными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опасными)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
</w:t>
            </w:r>
          </w:p>
        </w:tc>
      </w:tr>
      <w:tr>
        <w:trPr>
          <w:trHeight w:val="4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 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18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</w:tr>
      <w:tr>
        <w:trPr>
          <w:trHeight w:val="405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18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1299"/>
        <w:gridCol w:w="1649"/>
        <w:gridCol w:w="1373"/>
        <w:gridCol w:w="1980"/>
        <w:gridCol w:w="1428"/>
        <w:gridCol w:w="1870"/>
        <w:gridCol w:w="1539"/>
      </w:tblGrid>
      <w:tr>
        <w:trPr>
          <w:trHeight w:val="9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
</w:t>
            </w:r>
          </w:p>
        </w:tc>
      </w:tr>
      <w:tr>
        <w:trPr>
          <w:trHeight w:val="13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особые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руководство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(отделений)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условиях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
</w:t>
            </w:r>
          </w:p>
        </w:tc>
      </w:tr>
      <w:tr>
        <w:trPr>
          <w:trHeight w:val="189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18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</w:tr>
      <w:tr>
        <w:trPr>
          <w:trHeight w:val="24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ед.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18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1323"/>
        <w:gridCol w:w="1822"/>
        <w:gridCol w:w="1489"/>
        <w:gridCol w:w="1841"/>
        <w:gridCol w:w="1305"/>
        <w:gridCol w:w="2026"/>
        <w:gridCol w:w="1342"/>
      </w:tblGrid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
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психо-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
</w:t>
            </w:r>
          </w:p>
        </w:tc>
      </w:tr>
      <w:tr>
        <w:trPr>
          <w:trHeight w:val="105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18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</w:tr>
      <w:tr>
        <w:trPr>
          <w:trHeight w:val="24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18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3"/>
        <w:gridCol w:w="1144"/>
        <w:gridCol w:w="1689"/>
        <w:gridCol w:w="1307"/>
        <w:gridCol w:w="1653"/>
        <w:gridCol w:w="1235"/>
        <w:gridCol w:w="1459"/>
        <w:gridCol w:w="1653"/>
        <w:gridCol w:w="1217"/>
      </w:tblGrid>
      <w:tr>
        <w:trPr>
          <w:trHeight w:val="46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
</w:t>
            </w:r>
          </w:p>
        </w:tc>
      </w:tr>
      <w:tr>
        <w:trPr>
          <w:trHeight w:val="13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дни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сверхурочную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оплата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за проживание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территориях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радиационного риска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бедствия
</w:t>
            </w:r>
          </w:p>
        </w:tc>
      </w:tr>
      <w:tr>
        <w:trPr>
          <w:trHeight w:val="105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гр.42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гр.43)/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18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</w:tr>
      <w:tr>
        <w:trPr>
          <w:trHeight w:val="24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коэф.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18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1636"/>
        <w:gridCol w:w="1259"/>
        <w:gridCol w:w="1637"/>
        <w:gridCol w:w="1358"/>
        <w:gridCol w:w="1753"/>
        <w:gridCol w:w="1325"/>
        <w:gridCol w:w="1671"/>
        <w:gridCol w:w="1046"/>
      </w:tblGrid>
      <w:tr>
        <w:trPr>
          <w:trHeight w:val="255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Надбавки
</w:t>
            </w:r>
          </w:p>
        </w:tc>
      </w:tr>
      <w:tr>
        <w:trPr>
          <w:trHeight w:val="1395" w:hRule="atLeast"/>
        </w:trPr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(гр.19+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гр.21+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гр.23+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гр.25+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гр.27+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гр.29+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гр.31+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гр.33+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гр.35+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гр.37+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гр.39+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гр.41+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гр.44+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гр.46)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за постоянную готовность к выезду на чрезвычайные ситуации в период осуществления спасательных и неотложных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внедрение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методов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лечения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высокие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важных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труде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практике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классную квалификацию
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18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</w:tr>
      <w:tr>
        <w:trPr>
          <w:trHeight w:val="24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65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1366"/>
        <w:gridCol w:w="2172"/>
        <w:gridCol w:w="1773"/>
        <w:gridCol w:w="2245"/>
        <w:gridCol w:w="1244"/>
        <w:gridCol w:w="1931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плате
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(гр.17+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гр.49+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гр.57+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гр.59)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почетное звание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(гр.49+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гр.51+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гр.53+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гр.56)
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
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75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(МРПхгр.55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хгр.54)/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</w:tr>
      <w:tr>
        <w:trPr>
          <w:trHeight w:val="24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коэф.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18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Руководитель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учреждения:                           Гл. бухгалтер (начальник ФЭО):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Министерства экономики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2007 года N 36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13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бюджетных заявок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администраторами бюджетных программ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 11-111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Расчет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затрат на основную заработную плату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рабочих государственных учреждений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                   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данных (прогноз, план, отчет)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Функциональная группа 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программ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             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Подпрограмма                                        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Специфика                                           |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 111  
</w:t>
      </w:r>
      <w:r>
        <w:rPr>
          <w:rFonts w:ascii="Times New Roman"/>
          <w:b w:val="false"/>
          <w:i w:val="false"/>
          <w:color w:val="000000"/>
          <w:sz w:val="28"/>
        </w:rPr>
        <w:t>
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571"/>
        <w:gridCol w:w="1710"/>
        <w:gridCol w:w="1747"/>
        <w:gridCol w:w="1205"/>
        <w:gridCol w:w="1659"/>
        <w:gridCol w:w="1101"/>
        <w:gridCol w:w="1590"/>
        <w:gridCol w:w="1363"/>
      </w:tblGrid>
      <w:tr>
        <w:trPr>
          <w:trHeight w:val="27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
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(базовый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коэф.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
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бригадой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совмещение должностей (расширение зоны обслуживания) и выполнение обязанностей временно отсутствующего работника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Рабочим, занятым на тяжелых (особо тяжелых) физических работах и работах с вредными (особо вредными)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опасными (особо опасными) условиями труда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18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18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1682"/>
        <w:gridCol w:w="2029"/>
        <w:gridCol w:w="1406"/>
        <w:gridCol w:w="1735"/>
        <w:gridCol w:w="1129"/>
        <w:gridCol w:w="1735"/>
        <w:gridCol w:w="1354"/>
      </w:tblGrid>
      <w:tr>
        <w:trPr>
          <w:trHeight w:val="27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особые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в ночное время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в праздничные и выходные дни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сверхурочную работу
</w:t>
            </w:r>
          </w:p>
        </w:tc>
      </w:tr>
      <w:tr>
        <w:trPr>
          <w:trHeight w:val="48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18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3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18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1149"/>
        <w:gridCol w:w="1838"/>
        <w:gridCol w:w="1756"/>
        <w:gridCol w:w="1435"/>
        <w:gridCol w:w="1601"/>
        <w:gridCol w:w="2166"/>
        <w:gridCol w:w="1364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Надбавки
</w:t>
            </w:r>
          </w:p>
        </w:tc>
      </w:tr>
      <w:tr>
        <w:trPr>
          <w:trHeight w:val="12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проживание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радиационного риска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проживание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бедствия
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(гр.5+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гр.7+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гр.9+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гр.11+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гр.13+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гр.15+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гр.17+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гр.20+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гр.22)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автомобилях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прицепами
</w:t>
            </w:r>
          </w:p>
        </w:tc>
      </w:tr>
      <w:tr>
        <w:trPr>
          <w:trHeight w:val="174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гр.18х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гр.19)/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18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коэф.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18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1199"/>
        <w:gridCol w:w="1842"/>
        <w:gridCol w:w="1217"/>
        <w:gridCol w:w="1640"/>
        <w:gridCol w:w="1651"/>
        <w:gridCol w:w="1096"/>
        <w:gridCol w:w="1316"/>
        <w:gridCol w:w="1244"/>
      </w:tblGrid>
      <w:tr>
        <w:trPr>
          <w:trHeight w:val="10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заработной плате
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(гр.3+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гр.23+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гр.30+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гр.32)
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х12
</w:t>
            </w:r>
          </w:p>
        </w:tc>
      </w:tr>
      <w:tr>
        <w:trPr>
          <w:trHeight w:val="16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классную квалификацию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Силах,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службе
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(гр.25+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гр.27+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гр.29)
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чивает-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
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</w:tr>
      <w:tr>
        <w:trPr>
          <w:trHeight w:val="3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18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Руководитель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учреждения:                           Гл. бухгалтер (начальник ФЭО):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Министерства экономики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2007 года N 36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43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 01-152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Расчет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расходов на служебные командировки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за пределы страны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        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данных (прогноз, план, отчет)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Программа   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Подпрограмма                                     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    Командировки и служебные разъезды   |     152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 пределы страны            |______________|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1022"/>
        <w:gridCol w:w="1422"/>
        <w:gridCol w:w="1554"/>
        <w:gridCol w:w="1652"/>
        <w:gridCol w:w="1663"/>
        <w:gridCol w:w="1463"/>
        <w:gridCol w:w="1423"/>
        <w:gridCol w:w="1587"/>
      </w:tblGrid>
      <w:tr>
        <w:trPr>
          <w:trHeight w:val="226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люты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веко/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(чел/дн)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дируе-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(чел)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((гр.1+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гр.2)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гр.3+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(гр.4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гр.5))/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255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администратора программ/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государственного учреждения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Главный бухгалтер (нач.ФЭО) _______________________________"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Министерства экономики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2007 года N 36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50-1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Информация по фактической обеспеченности средствами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вычислительной техники и оргтехникой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8"/>
        <w:gridCol w:w="3849"/>
        <w:gridCol w:w="2172"/>
        <w:gridCol w:w="2931"/>
      </w:tblGrid>
      <w:tr>
        <w:trPr>
          <w:trHeight w:val="9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выпуска)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(шт.)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9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Серверы: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...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Ноутбуки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...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станции: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...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Принтеры: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ч/б, цветной, сетевой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...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...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...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Глав. Бухгалтер (начальник фин. отдела)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Ф.И.О.: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Конт. телефон: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Ф.И.О.: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Конт.телефон ______"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Министерства экономики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2007 года N 36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50-2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бюджетной заявки администраторами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Информация по освоению средств по договорам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0"/>
        <w:gridCol w:w="2964"/>
        <w:gridCol w:w="2337"/>
        <w:gridCol w:w="2328"/>
        <w:gridCol w:w="246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инвестиционного проекта
</w:t>
            </w:r>
          </w:p>
        </w:tc>
      </w:tr>
      <w:tr>
        <w:trPr>
          <w:trHeight w:val="345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предстоящий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60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N 1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N 2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N...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Всего"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