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ff75" w14:textId="1a8f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июля 2007 года N 166-п. Зарегистрировано в Министерстве юстиции Республики Казахстан 13 августа 2007 года N 4866.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приказа в редакции приказа Министра здравоохранения и социального развития РК от 20.08.2014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117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утверждения, замены и пересмотра типовых норм и нормативов по труду государственными органами соответствующих сфер деятельности.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занятости населения (Абденов С.С.)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2007 года N 166-п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утверждения, замены и пересмотра типовых (отраслевых, межотраслевых) норм и нормативов по труду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соответствующих сфер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приказа Министра здравоохранения и социального развития РК от 20.08.2014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 (далее - Правила) разработаны в соответствии с Трудовым кодексом Республики Казахстан и определяют единый порядок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нормы труда (выработки, времени, обслуживания) - регламентированные значения затрат труда на выполнение по типовой технологии отдельных элементов или комплексов работ, обслуживания единицы оборудования, рабочего места, а также численности работников, необходимых для выполнения производственных, управленческих функций в зависимости от рациональных организационно-технических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по труду - регламентированные значения (величины) затрат труда (времени) на выполнение отдельных элементов (комплексов) работ, обслуживание единицы оборудования, рабочего места, структурного подразделения, а также численности работников определенного профессионально-квалификационного состава, необходимых для выполнения производственных, управленческих функций или объема работ, принятого за единицу измерения, в зависимости от конкретных организационно-технических условий и факторов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межотраслевые нормы труда - регламентированные значения затрат труда на выполнение работ в Организациях по одинаковой технологии в аналогичных условиях производства для ряда видов экономической деятельности и применения работодателями в качестве эталона при нормировании труда работников на соответствующих видах работ (между двух, трех и более отраслей);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отраслевые нормы труда - регламентированные значения затрат труда на выполнение работ в Организациях одной отрасли экономики.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утверждения типовых (отраслевых, межотраслевых)</w:t>
      </w:r>
      <w:r>
        <w:br/>
      </w:r>
      <w:r>
        <w:rPr>
          <w:rFonts w:ascii="Times New Roman"/>
          <w:b/>
          <w:i w:val="false"/>
          <w:color w:val="000000"/>
        </w:rPr>
        <w:t>
норм и нормативов по труду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сфер деятельности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соответствующей сферы деятельности утверждает приказом согласованные уполномоченным государственным органом по труду типовые (отраслевые, межотраслевые) нормы и нормативы по труду.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10 календарных дней после утверждения типовых (отраслевых, межотраслевых) норм и нормативов по труду государственный орган соответствующей сферы деятельности представляет в уполномоченный государственный орган по труду один экземпляр нормативов на государственном и русском языках, на бумажном и электронном носителях.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Типовые (отраслевые, межотраслевые) нормы и нормативы по труду утверждаются государственным органом соответствующей сферы деятельности на срок, установленный уполномоченным государственным органом по труду.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замены и пересмотра типовых (отраслевых,</w:t>
      </w:r>
      <w:r>
        <w:br/>
      </w:r>
      <w:r>
        <w:rPr>
          <w:rFonts w:ascii="Times New Roman"/>
          <w:b/>
          <w:i w:val="false"/>
          <w:color w:val="000000"/>
        </w:rPr>
        <w:t>
межотраслевых)норм и нормативов по труду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соответствующих сфер деятельности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пересмотра и замены типовых (отраслевых, межотраслевых) норм и нормативов по труду является истечение срока действующих типовых (отраслевых, межотраслевых) норм и нормативов по труду, выявление ошибочно установленных норм, в процессе разработки которых неправильно учтены организационно-технические условия или допущены неточности, ошибки в применении нормативных материалов либо при выполнении расчетов, а также при изменении организационно-технических условий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Пересмотр и замена типовых (отраслевых, межотраслевых) норм и нормативов по труду обеспечивается государственным органом соответствующей сферы деятельности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Нормы труда подлежат обязательной замене по мере проведения аттестации и рационализации рабочих мест, внедрения новой техники, технологии и организационно-технических мероприятий, обеспечивающих рост производительности труда независимо от срока, на который они были утверждены. Пересмотр ошибочно установленных норм проводится по мере их выявления.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Достижение высокого уровня выработки продукции (оказания услуг)отдельными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выполнению работы по пересмотру и замене норм труда наряду с работниками по нормированию труда, государственным органом соответствующей сферы деятельности могут привлекаться руководители структурных подразделений, представители отделов экономического анализа и другие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окончании работ по пересмотру и замене типовых (отраслевых, межотраслевых) норм и нормативов по труду государственным органом соответствующей сферы деятельности представляется заявка в уполномоченный государственный орган по труду на их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оснований, предусмотренных пунктом 8 настоящих Правил, государственный орган соответствующей сферы деятельности обращается в уполномоченный государственный орган по труду с заявкой на продление их срока действия при обязательном представлении оригинала типовых (отраслевых, межотраслевых) норм и нормативов по труду, обосновывающих материалов и пояснительной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типовых (отраслевых, межотраслевых) норм и нормативов по труду оформляется путем проставления уполномоченным государственным органом по труду на титульном листе оригинала соответствующей отметки с указанием даты и номера письма уполномоченного государственного органа по труду о продлении срока действия нормативов и гербовой печати.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