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d72f" w14:textId="66ed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инвентаризации выбросов парниковых газов и озоноразрушающих веществ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13 декабря 2007 года № 348-п. Зарегистрирован в Министерстве юстиции Республики Казахстан 15 января 2008 года № 5094. Утратил силу приказом Министра энергетики Республики Казахстан от 27 апреля 2016 года № 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энергетики РК от 27.04.2016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30)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инвентаризации выбросов парниковых газов и озоноразрушающих веществ.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по истечении десяти календарных дней после их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охраны окружающей среды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2007 г. № 348-п  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инвентаризации выбросов парниковых газов</w:t>
      </w:r>
      <w:r>
        <w:br/>
      </w:r>
      <w:r>
        <w:rPr>
          <w:rFonts w:ascii="Times New Roman"/>
          <w:b/>
          <w:i w:val="false"/>
          <w:color w:val="000000"/>
        </w:rPr>
        <w:t>
и озоноразрушающих веществ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в редакции приказа Министра охраны окружающей среды РК от 25.05.2012 </w:t>
      </w:r>
      <w:r>
        <w:rPr>
          <w:rFonts w:ascii="Times New Roman"/>
          <w:b w:val="false"/>
          <w:i w:val="false"/>
          <w:color w:val="ff0000"/>
          <w:sz w:val="28"/>
        </w:rPr>
        <w:t>№ 170-П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инвентаризации выбросов парниковых газов и озоноразрушающих веществ (далее - Правила) разработаны в соответствии  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определяют порядок инвентаризации выбросов парниковых газов и потребления озоноразрушающих веществ.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целями инвентаризации выбросов парниковых газов и потребления озоноразрушающих веществ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получение исходных данных для оценки степени влияния выбросов парниковых газов и озоноразрушающих на атмосферный воздух и установления нормативов предельно допустимых выбросов парниковых газов в атмосферный воздух, как в целом по предприятию, так и по отдельным источникам;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количественных и качественных характеристик выбросов парниковых газов и озоноразрушающих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учет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эффективности использования сырьевых ресурсов и утилизации отходов на предприятии;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планирования работ по охране атмосферного воздуха.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Юридические лица, имеющие источники выбросов парниковых газов и озоноразрушающих веществ в атмосферу ежегодно проводят инвентаризацию выбросов парниковых газов и озоноразрушающих веществ и представляют ее в уполномоченный орган в области охраны окружающей среды не позднее 1 апреля следующего за отчетным годом.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приказа Министра охраны окружающей среды РК от 25.05.2012 </w:t>
      </w:r>
      <w:r>
        <w:rPr>
          <w:rFonts w:ascii="Times New Roman"/>
          <w:b w:val="false"/>
          <w:i w:val="false"/>
          <w:color w:val="000000"/>
          <w:sz w:val="28"/>
        </w:rPr>
        <w:t>№ 170-П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проведения инвентаризации выбросов парниковых газов 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проведении инвентаризации выбросов парниковых газов проводится обследование источников выбросов парниковых газов, определяются виды и количество парниковых газов.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результатам проведенной инвентаризации выбросов парниковых газов, природопользователи представляют в уполномоченный орган в области охраны окружающей среды отчет об инвентаризации парниковых газов по форме,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энергетики Республики Казахстан от 28 июля 2015 года № 502 «Об утверждении форм отчетов об инвентаризации парниковых газов» (Зарегистрированный в Реестре государственной регистрации нормативных правовых актов за № 11818).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приказа Министра энергетики РК от 04.12.2015 </w:t>
      </w:r>
      <w:r>
        <w:rPr>
          <w:rFonts w:ascii="Times New Roman"/>
          <w:b w:val="false"/>
          <w:i w:val="false"/>
          <w:color w:val="00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охраны окружающей среды РК от 25.05.2012 </w:t>
      </w:r>
      <w:r>
        <w:rPr>
          <w:rFonts w:ascii="Times New Roman"/>
          <w:b w:val="false"/>
          <w:i w:val="false"/>
          <w:color w:val="000000"/>
          <w:sz w:val="28"/>
        </w:rPr>
        <w:t>№ 170-П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проведения инвентаризации озоноразрушающих веществ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главы в редакции приказа Министра охраны окружающей среды РК от 25.05.2012 </w:t>
      </w:r>
      <w:r>
        <w:rPr>
          <w:rFonts w:ascii="Times New Roman"/>
          <w:b w:val="false"/>
          <w:i w:val="false"/>
          <w:color w:val="ff0000"/>
          <w:sz w:val="28"/>
        </w:rPr>
        <w:t>№ 170-П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проведении инвентаризации проводится обследование продукции, содержащей озоноразрушающие вещества (далее - ОРВ), определяются виды и количество ОРВ.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результатам проведенной инвентаризации потребления ОРВ, природопользователи заполняют паспорт инвентаризации потребления озоноразрушающих веществ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2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Паспорт составляется на ежегодный оборот потребления озоноразрушающих веществ в чистом виде и содержащей их продукции.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Паспорт инвентаризации потребления озоноразрушающих веществ должен содержать следующие положения: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регистрационный номер;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организации-природопользователя в чьей собственности/владении находятся ОРВ;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Ф.И.О. и должности лиц составивших и утвердивших паспорт инвентаризации ОРВ;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расположение организации относительно административных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данные ввоза/вывоза ОРВ;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данные ввоза/вывоза продукции, содержащей ОРВ;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количество потребленных ОРВ по видам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источники данных об объекте.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Правилам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инвентаризации выбросов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парниковых газов и потребления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озоноразрушающих веществ     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Паспорт инвентаризации парниковых газов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исключено приказом Министра охраны окружающей среды РК от 25.05.2012 </w:t>
      </w:r>
      <w:r>
        <w:rPr>
          <w:rFonts w:ascii="Times New Roman"/>
          <w:b w:val="false"/>
          <w:i w:val="false"/>
          <w:color w:val="ff0000"/>
          <w:sz w:val="28"/>
        </w:rPr>
        <w:t>№ 170-П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к Правилам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инвентаризации выбросов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парниковых газов и потребления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озоноразрушающих веществ     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Паспорт инвентаризации потребления озоноразрушающих веществ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Регистрационный номер__________________________________________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(заполняет уполномоченный орган)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Испольнитель(и)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Ф.И.О., должность подпись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организации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Ф.И.О.,               подпись/печать 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1. Административное расположение (организации)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(область, район, город, поселок)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2. Ввоз (или закупка)/вывоз (или продажа) ОРВ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2953"/>
        <w:gridCol w:w="3373"/>
        <w:gridCol w:w="2613"/>
        <w:gridCol w:w="2413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(название хим.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хим.формула)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фирма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поставщик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 импорте)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поставщик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РК (при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закупе)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</w:tbl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3. Ввоз/вывоз продукции содержащих ОРВ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2733"/>
        <w:gridCol w:w="2753"/>
        <w:gridCol w:w="2433"/>
        <w:gridCol w:w="3433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дитель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поставщик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фирма поставщик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РК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</w:tbl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4. Количество потребленных озоноразрушающих веществ по видам деятельности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3"/>
        <w:gridCol w:w="2733"/>
        <w:gridCol w:w="2173"/>
        <w:gridCol w:w="3193"/>
        <w:gridCol w:w="1913"/>
      </w:tblGrid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ОРВ, кг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поставщик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экспортируемых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проданных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ОРВ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закупщик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РК 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</w:tbl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5. Перечень источников данных об объекте (указать наименование документа(ов), дату, авторов откуда были взяты данные представленные в Паспорте). 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