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e09e" w14:textId="1ece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N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24 декабря 2007 года N 271. Зарегистрировано в Министерстве юстиции Республики Казахстан 29 января 2008 года N 5120.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01.10.2008).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устанавливающих порядок пруденциального регулирования деятельности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27 октября 2006 года N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4479), с дополнениями и изменениями,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23 февраля 2007 года N 40 "О внесении дополнений и изменений в некоторые нормативные правовые акты Республики Казахстан по вопросам пруденциального регулирования деятельности накопительных пенсионных фондов и профессиональных участников рынка ценных бумаг" (зарегистрированным в Реестре государственной регистрации нормативных правовых актов под N 4608, опубликованным в Бюллетене нормативных правовых актов центральных исполнительных и иных государственных органов Республики Казахстан, 2007 года, N 5, ст. 255)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пруденциальных нормативов, методике их расчетов для накопительных пенсионных фондов, утвержденной указанным постановлением:
</w:t>
      </w:r>
      <w:r>
        <w:br/>
      </w:r>
      <w:r>
        <w:rPr>
          <w:rFonts w:ascii="Times New Roman"/>
          <w:b w:val="false"/>
          <w:i w:val="false"/>
          <w:color w:val="000000"/>
          <w:sz w:val="28"/>
        </w:rPr>
        <w:t>
      абзац четырнадцатый пункта 5 дополнить словами ", наличной иностранной валюты;";
</w:t>
      </w:r>
      <w:r>
        <w:br/>
      </w:r>
      <w:r>
        <w:rPr>
          <w:rFonts w:ascii="Times New Roman"/>
          <w:b w:val="false"/>
          <w:i w:val="false"/>
          <w:color w:val="000000"/>
          <w:sz w:val="28"/>
        </w:rPr>
        <w:t>
      в подпункте 14) пункта 6:
</w:t>
      </w:r>
      <w:r>
        <w:br/>
      </w:r>
      <w:r>
        <w:rPr>
          <w:rFonts w:ascii="Times New Roman"/>
          <w:b w:val="false"/>
          <w:i w:val="false"/>
          <w:color w:val="000000"/>
          <w:sz w:val="28"/>
        </w:rPr>
        <w:t>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слова "по национальной шкале Standard &amp; Poor's Республики Казахстан" заменить словами "по национальной шкале Standard &amp; Poor's или рейтинг аналогичного уровня одного из других рейтинговых агентств";
</w:t>
      </w:r>
      <w:r>
        <w:br/>
      </w:r>
      <w:r>
        <w:rPr>
          <w:rFonts w:ascii="Times New Roman"/>
          <w:b w:val="false"/>
          <w:i w:val="false"/>
          <w:color w:val="000000"/>
          <w:sz w:val="28"/>
        </w:rPr>
        <w:t>
      в пункте 14:
</w:t>
      </w:r>
      <w:r>
        <w:br/>
      </w:r>
      <w:r>
        <w:rPr>
          <w:rFonts w:ascii="Times New Roman"/>
          <w:b w:val="false"/>
          <w:i w:val="false"/>
          <w:color w:val="000000"/>
          <w:sz w:val="28"/>
        </w:rPr>
        <w:t>
      в подпункте 5) знак препинания "." заменить знаком препинания ";";
</w:t>
      </w:r>
      <w:r>
        <w:br/>
      </w:r>
      <w:r>
        <w:rPr>
          <w:rFonts w:ascii="Times New Roman"/>
          <w:b w:val="false"/>
          <w:i w:val="false"/>
          <w:color w:val="000000"/>
          <w:sz w:val="28"/>
        </w:rPr>
        <w:t>
      дополнить подпунктами 6) и 7) следующего содержания:
</w:t>
      </w:r>
      <w:r>
        <w:br/>
      </w:r>
      <w:r>
        <w:rPr>
          <w:rFonts w:ascii="Times New Roman"/>
          <w:b w:val="false"/>
          <w:i w:val="false"/>
          <w:color w:val="000000"/>
          <w:sz w:val="28"/>
        </w:rPr>
        <w:t>
      "6) в паи интервального паевого инвестиционного фонда, управляющая компания которого является резидентом Республики Казахстан, и которые включены в официальный список организатора торгов, за исключением официального списка специальной торговой площадки Регионального Финансового Центра города Алматы, в размере десяти процентов от объема собственных активов Фонда, но менее десяти процентов от активов данного интервального паевого инвестиционного фонда;
</w:t>
      </w:r>
      <w:r>
        <w:br/>
      </w:r>
      <w:r>
        <w:rPr>
          <w:rFonts w:ascii="Times New Roman"/>
          <w:b w:val="false"/>
          <w:i w:val="false"/>
          <w:color w:val="000000"/>
          <w:sz w:val="28"/>
        </w:rPr>
        <w:t>
      7) в паи инвестиционного фонда, имеющего международную рейтинговую оценку "Standard &amp; Poor's principal stability fund ratings" не ниже "BBBm-" либо "Standard &amp; Poor's Fund credit quality ratings" не ниже "BBBf-", не более пятнадцати процентов от объема собственных активов Фонда, но менее десяти процентов от активов данного инвестиционного фонда.";
</w:t>
      </w:r>
      <w:r>
        <w:br/>
      </w:r>
      <w:r>
        <w:rPr>
          <w:rFonts w:ascii="Times New Roman"/>
          <w:b w:val="false"/>
          <w:i w:val="false"/>
          <w:color w:val="000000"/>
          <w:sz w:val="28"/>
        </w:rPr>
        <w:t>
      в пункте 20 слова "его замещающим, главным бухгалтером, а также иными лицами, обладающими правом подписи указанной информации согласно внутренним документам Фонда" заменить словами "уполномоченным на подписание отчета, главным бухгалтером";
</w:t>
      </w:r>
      <w:r>
        <w:br/>
      </w:r>
      <w:r>
        <w:rPr>
          <w:rFonts w:ascii="Times New Roman"/>
          <w:b w:val="false"/>
          <w:i w:val="false"/>
          <w:color w:val="000000"/>
          <w:sz w:val="28"/>
        </w:rPr>
        <w:t>
      в приложении 1:
</w:t>
      </w:r>
      <w:r>
        <w:br/>
      </w:r>
      <w:r>
        <w:rPr>
          <w:rFonts w:ascii="Times New Roman"/>
          <w:b w:val="false"/>
          <w:i w:val="false"/>
          <w:color w:val="000000"/>
          <w:sz w:val="28"/>
        </w:rPr>
        <w:t>
      в таблице "Кредитный риск":
</w:t>
      </w:r>
      <w:r>
        <w:br/>
      </w:r>
      <w:r>
        <w:rPr>
          <w:rFonts w:ascii="Times New Roman"/>
          <w:b w:val="false"/>
          <w:i w:val="false"/>
          <w:color w:val="000000"/>
          <w:sz w:val="28"/>
        </w:rPr>
        <w:t>
      строки: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633"/>
        <w:gridCol w:w="793"/>
        <w:gridCol w:w="573"/>
      </w:tblGrid>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w:t>
            </w:r>
            <w:r>
              <w:br/>
            </w:r>
            <w:r>
              <w:rPr>
                <w:rFonts w:ascii="Times New Roman"/>
                <w:b w:val="false"/>
                <w:i w:val="false"/>
                <w:color w:val="000000"/>
                <w:sz w:val="20"/>
              </w:rPr>
              <w:t>
которых является индекс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633"/>
        <w:gridCol w:w="793"/>
        <w:gridCol w:w="573"/>
      </w:tblGrid>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w:t>
            </w:r>
            <w:r>
              <w:br/>
            </w:r>
            <w:r>
              <w:rPr>
                <w:rFonts w:ascii="Times New Roman"/>
                <w:b w:val="false"/>
                <w:i w:val="false"/>
                <w:color w:val="000000"/>
                <w:sz w:val="20"/>
              </w:rPr>
              <w:t>
которых является индекс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633"/>
        <w:gridCol w:w="793"/>
        <w:gridCol w:w="573"/>
      </w:tblGrid>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w:t>
            </w:r>
            <w:r>
              <w:br/>
            </w:r>
            <w:r>
              <w:rPr>
                <w:rFonts w:ascii="Times New Roman"/>
                <w:b w:val="false"/>
                <w:i w:val="false"/>
                <w:color w:val="000000"/>
                <w:sz w:val="20"/>
              </w:rPr>
              <w:t>
которых является индекс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3"/>
        <w:gridCol w:w="633"/>
        <w:gridCol w:w="793"/>
        <w:gridCol w:w="573"/>
      </w:tblGrid>
      <w:tr>
        <w:trPr>
          <w:trHeight w:val="450" w:hRule="atLeast"/>
        </w:trPr>
        <w:tc>
          <w:tcPr>
            <w:tcW w:w="9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w:t>
            </w:r>
            <w:r>
              <w:br/>
            </w:r>
            <w:r>
              <w:rPr>
                <w:rFonts w:ascii="Times New Roman"/>
                <w:b w:val="false"/>
                <w:i w:val="false"/>
                <w:color w:val="000000"/>
                <w:sz w:val="20"/>
              </w:rPr>
              <w:t>
которых является индекс
</w:t>
            </w:r>
          </w:p>
        </w:tc>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исключить;
</w:t>
      </w:r>
      <w:r>
        <w:br/>
      </w:r>
      <w:r>
        <w:rPr>
          <w:rFonts w:ascii="Times New Roman"/>
          <w:b w:val="false"/>
          <w:i w:val="false"/>
          <w:color w:val="000000"/>
          <w:sz w:val="28"/>
        </w:rPr>
        <w:t>
      по всему тексту таблицы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в Пояснениях по заполнению таблицы:
</w:t>
      </w:r>
      <w:r>
        <w:br/>
      </w:r>
      <w:r>
        <w:rPr>
          <w:rFonts w:ascii="Times New Roman"/>
          <w:b w:val="false"/>
          <w:i w:val="false"/>
          <w:color w:val="000000"/>
          <w:sz w:val="28"/>
        </w:rPr>
        <w:t>
      дополнить абзацами пятым - одиннадцатым следующего содержания:
</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1-1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Фонда формируются требования.
</w:t>
      </w:r>
      <w:r>
        <w:br/>
      </w:r>
      <w:r>
        <w:rPr>
          <w:rFonts w:ascii="Times New Roman"/>
          <w:b w:val="false"/>
          <w:i w:val="false"/>
          <w:color w:val="000000"/>
          <w:sz w:val="28"/>
        </w:rPr>
        <w:t>
      По проданным опционам стоимость замещения не рассчитывается.";
</w:t>
      </w:r>
      <w:r>
        <w:br/>
      </w:r>
      <w:r>
        <w:rPr>
          <w:rFonts w:ascii="Times New Roman"/>
          <w:b w:val="false"/>
          <w:i w:val="false"/>
          <w:color w:val="000000"/>
          <w:sz w:val="28"/>
        </w:rPr>
        <w:t>
      в седьмом абзаце слова "наивысшей рейтинговой оценке" заменить словами "рейтинговой оценке по национальной шкале";
</w:t>
      </w:r>
      <w:r>
        <w:br/>
      </w:r>
      <w:r>
        <w:rPr>
          <w:rFonts w:ascii="Times New Roman"/>
          <w:b w:val="false"/>
          <w:i w:val="false"/>
          <w:color w:val="000000"/>
          <w:sz w:val="28"/>
        </w:rPr>
        <w:t>
      дополнить приложением 1-1 согласно приложению к настоящему постановлению;
</w:t>
      </w:r>
      <w:r>
        <w:br/>
      </w:r>
      <w:r>
        <w:rPr>
          <w:rFonts w:ascii="Times New Roman"/>
          <w:b w:val="false"/>
          <w:i w:val="false"/>
          <w:color w:val="000000"/>
          <w:sz w:val="28"/>
        </w:rPr>
        <w:t>
      строку 14 приложения 4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строку 8013 приложения 5 после слов "по национальной шкале Standard &amp; Poor's" дополнить словами "или рейтинг аналогичного уровня одного из других рейтинговых агентств";
</w:t>
      </w:r>
      <w:r>
        <w:br/>
      </w:r>
      <w:r>
        <w:rPr>
          <w:rFonts w:ascii="Times New Roman"/>
          <w:b w:val="false"/>
          <w:i w:val="false"/>
          <w:color w:val="000000"/>
          <w:sz w:val="28"/>
        </w:rPr>
        <w:t>
      в приложениях 1, 2, 3, 4 и 5 к Инструкции слово "Руководитель" заменить словами "Первый руководитель или лицо, уполномоченное на подписание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(Абдрахманов Н.А.):
</w:t>
      </w:r>
      <w:r>
        <w:br/>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Службе Председателя Агентства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постановлению
</w:t>
      </w:r>
      <w:r>
        <w:br/>
      </w:r>
      <w:r>
        <w:rPr>
          <w:rFonts w:ascii="Times New Roman"/>
          <w:b w:val="false"/>
          <w:i w:val="false"/>
          <w:color w:val="000000"/>
          <w:sz w:val="28"/>
        </w:rPr>
        <w:t>
Правления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24 декабря 2007 года   
</w:t>
      </w:r>
      <w:r>
        <w:br/>
      </w:r>
      <w:r>
        <w:rPr>
          <w:rFonts w:ascii="Times New Roman"/>
          <w:b w:val="false"/>
          <w:i w:val="false"/>
          <w:color w:val="000000"/>
          <w:sz w:val="28"/>
        </w:rPr>
        <w:t>
N 271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w:t>
      </w:r>
      <w:r>
        <w:br/>
      </w:r>
      <w:r>
        <w:rPr>
          <w:rFonts w:ascii="Times New Roman"/>
          <w:b w:val="false"/>
          <w:i w:val="false"/>
          <w:color w:val="000000"/>
          <w:sz w:val="28"/>
        </w:rPr>
        <w:t>
нормативов, методике      
</w:t>
      </w:r>
      <w:r>
        <w:br/>
      </w:r>
      <w:r>
        <w:rPr>
          <w:rFonts w:ascii="Times New Roman"/>
          <w:b w:val="false"/>
          <w:i w:val="false"/>
          <w:color w:val="000000"/>
          <w:sz w:val="28"/>
        </w:rPr>
        <w:t>
их расчетов для           
</w:t>
      </w:r>
      <w:r>
        <w:br/>
      </w:r>
      <w:r>
        <w:rPr>
          <w:rFonts w:ascii="Times New Roman"/>
          <w:b w:val="false"/>
          <w:i w:val="false"/>
          <w:color w:val="000000"/>
          <w:sz w:val="28"/>
        </w:rPr>
        <w:t>
накопительных             
</w:t>
      </w:r>
      <w:r>
        <w:br/>
      </w:r>
      <w:r>
        <w:rPr>
          <w:rFonts w:ascii="Times New Roman"/>
          <w:b w:val="false"/>
          <w:i w:val="false"/>
          <w:color w:val="000000"/>
          <w:sz w:val="28"/>
        </w:rPr>
        <w:t>
пенсионных фондов"        
</w:t>
      </w:r>
    </w:p>
    <w:p>
      <w:pPr>
        <w:spacing w:after="0"/>
        <w:ind w:left="0"/>
        <w:jc w:val="both"/>
      </w:pPr>
      <w:r>
        <w:rPr>
          <w:rFonts w:ascii="Times New Roman"/>
          <w:b w:val="false"/>
          <w:i w:val="false"/>
          <w:color w:val="000000"/>
          <w:sz w:val="28"/>
        </w:rPr>
        <w:t>
</w:t>
      </w:r>
      <w:r>
        <w:rPr>
          <w:rFonts w:ascii="Times New Roman"/>
          <w:b/>
          <w:i w:val="false"/>
          <w:color w:val="000000"/>
          <w:sz w:val="28"/>
        </w:rPr>
        <w:t>
             Кредитный риск по сделкам с производными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финансовыми инструментами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833"/>
        <w:gridCol w:w="1433"/>
        <w:gridCol w:w="1533"/>
        <w:gridCol w:w="1853"/>
        <w:gridCol w:w="1433"/>
        <w:gridCol w:w="1333"/>
      </w:tblGrid>
      <w:tr>
        <w:trPr>
          <w:trHeight w:val="108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до даты
</w:t>
            </w:r>
            <w:r>
              <w:br/>
            </w:r>
            <w:r>
              <w:rPr>
                <w:rFonts w:ascii="Times New Roman"/>
                <w:b w:val="false"/>
                <w:i w:val="false"/>
                <w:color w:val="000000"/>
                <w:sz w:val="20"/>
              </w:rPr>
              <w:t>
валютирования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госу-
</w:t>
            </w:r>
            <w:r>
              <w:br/>
            </w:r>
            <w:r>
              <w:rPr>
                <w:rFonts w:ascii="Times New Roman"/>
                <w:b w:val="false"/>
                <w:i w:val="false"/>
                <w:color w:val="000000"/>
                <w:sz w:val="20"/>
              </w:rPr>
              <w:t>
дарст-
</w:t>
            </w:r>
            <w:r>
              <w:br/>
            </w:r>
            <w:r>
              <w:rPr>
                <w:rFonts w:ascii="Times New Roman"/>
                <w:b w:val="false"/>
                <w:i w:val="false"/>
                <w:color w:val="000000"/>
                <w:sz w:val="20"/>
              </w:rPr>
              <w:t>
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центные
</w:t>
            </w:r>
            <w:r>
              <w:br/>
            </w:r>
            <w:r>
              <w:rPr>
                <w:rFonts w:ascii="Times New Roman"/>
                <w:b w:val="false"/>
                <w:i w:val="false"/>
                <w:color w:val="000000"/>
                <w:sz w:val="20"/>
              </w:rPr>
              <w:t>
сделки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не
</w:t>
            </w:r>
            <w:r>
              <w:br/>
            </w:r>
            <w:r>
              <w:rPr>
                <w:rFonts w:ascii="Times New Roman"/>
                <w:b w:val="false"/>
                <w:i w:val="false"/>
                <w:color w:val="000000"/>
                <w:sz w:val="20"/>
              </w:rPr>
              <w:t>
государ-
</w:t>
            </w:r>
            <w:r>
              <w:br/>
            </w:r>
            <w:r>
              <w:rPr>
                <w:rFonts w:ascii="Times New Roman"/>
                <w:b w:val="false"/>
                <w:i w:val="false"/>
                <w:color w:val="000000"/>
                <w:sz w:val="20"/>
              </w:rPr>
              <w:t>
ствен-
</w:t>
            </w:r>
            <w:r>
              <w:br/>
            </w:r>
            <w:r>
              <w:rPr>
                <w:rFonts w:ascii="Times New Roman"/>
                <w:b w:val="false"/>
                <w:i w:val="false"/>
                <w:color w:val="000000"/>
                <w:sz w:val="20"/>
              </w:rPr>
              <w:t>
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w:t>
            </w:r>
            <w:r>
              <w:br/>
            </w:r>
            <w:r>
              <w:rPr>
                <w:rFonts w:ascii="Times New Roman"/>
                <w:b w:val="false"/>
                <w:i w:val="false"/>
                <w:color w:val="000000"/>
                <w:sz w:val="20"/>
              </w:rPr>
              <w:t>
с дра-
</w:t>
            </w:r>
            <w:r>
              <w:br/>
            </w:r>
            <w:r>
              <w:rPr>
                <w:rFonts w:ascii="Times New Roman"/>
                <w:b w:val="false"/>
                <w:i w:val="false"/>
                <w:color w:val="000000"/>
                <w:sz w:val="20"/>
              </w:rPr>
              <w:t>
гоцен-
</w:t>
            </w:r>
            <w:r>
              <w:br/>
            </w:r>
            <w:r>
              <w:rPr>
                <w:rFonts w:ascii="Times New Roman"/>
                <w:b w:val="false"/>
                <w:i w:val="false"/>
                <w:color w:val="000000"/>
                <w:sz w:val="20"/>
              </w:rPr>
              <w:t>
ными
</w:t>
            </w:r>
            <w:r>
              <w:br/>
            </w:r>
            <w:r>
              <w:rPr>
                <w:rFonts w:ascii="Times New Roman"/>
                <w:b w:val="false"/>
                <w:i w:val="false"/>
                <w:color w:val="000000"/>
                <w:sz w:val="20"/>
              </w:rPr>
              <w:t>
метал-
</w:t>
            </w:r>
            <w:r>
              <w:br/>
            </w:r>
            <w:r>
              <w:rPr>
                <w:rFonts w:ascii="Times New Roman"/>
                <w:b w:val="false"/>
                <w:i w:val="false"/>
                <w:color w:val="000000"/>
                <w:sz w:val="20"/>
              </w:rPr>
              <w:t>
лами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сделки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года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5 лет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240" w:hRule="atLeast"/>
        </w:trPr>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5 лет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Кредитный риск по производным финансовым инструментами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