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3ed9" w14:textId="5483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застройки территории города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XLIX сессии III созыва Карагандинского городского маслихата Карагандинской области от 16 мая 2007 года N 14. Зарегистрировано Управлением юстиции города Караганды Карагандинской области 27 июня 2007 года N 8-1-55. Утратило силу решением Карагандинского городского маслихата Карагандинской области от 14 мая 2014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Карагандинского городского маслихата Карагандинской области от 14.05.2014 № 308.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22 Закона Республики Казахстан "Об архитектурной, градостроительной и строительной деятельности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застройки территории города Караганды.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N 4 XIХ сессии от 27 мая 2005 года Карагандинского городского маслихата ІІІ созыва "Об утверждении Правил застройки территории города Караганды" (зарегистрировано в Реестре государственной регистрации нормативных правовых актов за N 8-1-6, опубликовано в газете "Взгляд на события" от 10 августа 2005 года N 31 (096).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вопросам строительства, экологии, транспорта, связи, коммунально-бытовых услуг населению (председатель Абдиров Кадырбек Сагашович).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очередной XLIХ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III созыва,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 имени Казыбек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                           А. Санаубаров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Октябрьского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                           С. Касимов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 города Караганды"       Т. Калмаханов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архитектурно-строительного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области"                    Г. Конакбаев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Карагандинского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территориального управления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окружающей среды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Б.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пожарного контроля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противопожарной службы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В. Магамадов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району имени Казыбек би                 С. Сатеков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Октябрьскому району                     Н. Аймаганбетов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 от 16 мая 2007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застройки территории города Караганды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застройки территории города Караганды (далее - Правила) разработаны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года, законами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16 июля 2001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N 425 "О некоторых мерах по упрощению порядка оформления и выдачи исходных материалов (данных) и разрешительных документов для строительства объектов", иными нормативными правовыми актами и определяют условия и требования по использованию субъектами архитектурной, градостроительной и строительной деятельности земельных участков, проектированию и застройке территории населенных пунктов и природных зон, устанавливают порядок прохождения разрешительных процедур на размещение и строительство новых или изменение (перепрофилирование, переоборудование, перепланировку, реконструкцию, расширение, капитальный ремонт) существующих объектов недвижимости и временных сооружений, регулируют иные отношения, связанные с осуществлением архитектурной, градостроительной и строительной деятельности на территории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Застройка территорий города осуществляется в соответствии с настоящими правилами, генеральным планом города, проектом детальной планировки и застройки промышленных и селитебных районов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разработаны для всех предприятий, организаций, учреждений и других юридических лиц, независимо от их ведомственной подчиненности и форм собственности, а также физических лиц, осуществляющих проектирование, строительство зданий, сооружений и благоустройство на вновь осваиваемых и реконструируемых территориях в городе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наличия памятников истории и культуры на проектируемой территории использованы: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памятников всемирного наследия, расположенных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памятников истории и культуры республиканского значения, утвержденный Правительством Республики Казахстан.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Гараж - временное (металлическое) или капитальное строение для хранения автотранспортных средств, размещенное на территории города Караганды. Размер гаража принимается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Гаражный блок - семь и более гаражей, размещенных в порядке создающим один планировочный объем. Гаражные блоки не должны препятствовать движению транспортных средств и специальной автомобильной техники, ухудшать среду обитания жителей прилегающих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Проектировщик - юридическое или физическое лицо, имеющее лицензию на осуществление соответствующих видов проектной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Инженерная, транспортная и социальная инфраструктуры - комплекс сооружений и коммуникаций инженерного оборудования (водопроводные сети, канализация, теплоснабжение, электрические сети и другие), связи, транспорта (автомобильные дороги, остановки, места для парковки и тому подобные), а также объектов социального и культурно-бытового обслуживания населения, обеспечивающий устойчивое развитие и функционирование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 города - представитель Президента и Правительства Республики Казахстан, возглавляющий исполнительный орган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Градостроительный регламент - режимы, разрешения, ограничения (включая обременения, запрещения и сервитуты) использования территорий (земельных участков) и других объектов недвижимости, а также любых допустимых изменений их состояния, установленных в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Градостроительная и архитектурно-строительная документация - система взаимоувязанных документов (включая предпроектную и проектную документацию, государственные и межгосударственные нормативные документы), необходимых для организации территорий, градостроительного планирования развития и застройки территорий и населенных пунктов, строительства (расширения, модернизации, технического перевооружения, реконструкции, реставрации, капитального ремонта, консервации и постутилизации) объектов, а также организации строительства, инженерной подготовки территории, благоустройства, озеленения, внешнего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Основные виды градостроительных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генеральная схема расселения и территориальной организации производительных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региональные схемы расселения и территориальной организации крупных лечебно-оздоровительных, рекреационных и других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схемы районной планировки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проекты районной планировки административных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генеральные планы городов, поселков,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генеральные планы функциональных территорий (промышленных, рекреационных);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проекты детальной планировки;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проекты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города - комплекс элементов и работ, направленных на создание благоприятной, здоровой и удобной жизнедеятельности человека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Карагандинский городской Маслихат - местный представительный орган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предприятие "Градостроительный кадастровый центр города Караганды" - государственное предприятие на праве хозяйственного ведения в сфере архитектурной, градостроительной деятельности ведущее градостроительный кадастр базового уровня, органом государственного управления которого является местный орган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Селитебная территория - часть территории населенного пункта, предназначенная для размещения жилой, общественной (общественно-деловой) и рекреационной зон, а также отдельных частей инженерной и транспортной инфраструктур, других объектов, размещение и деятельность которых не оказывает воздействия, требующего специальных санитарно-защитных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Застройщик (заявитель) - юридическое или физическое лицо, имеющее намерение осуществить строительство определенного объекта и получившее решение акимата о предоставлении земельного участка под строительство или разрешение на использование земельного участка, принадлежащего ему на праве собственности или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Линии регулирования застройки - границы застройки, устанавливаемые при размещении зданий, строений, сооружений, с отступом от красных линий или от границ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Проект строительства (строительный проект) - проектная (проектно-сметная) документация, содержащая объемно-планировочные, конструктивные, технологические, инженерные, природоохранные, экономические и иные решения, а также сметные расчеты для организации и ведения строительства, инженерной подготовки территории, благоустройства. Также к проектам строительства относятся проекты консервации строительства незавершенных объектов и постутилизации объектов, выработавших свой ресурс.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Строительная площадка - территория, предназначенная для размещения возводимого объекта, временных строений и сооружений, техники, отвалов грунта, складирования строительных материалов, изделий, оборудования и выполнения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Строительные нормы и правила - часть Государственной системы нормативных документов являющихся составной частью законодательства Республики Казахстан в области архитектуры, градостроительства и строительства и подлежащие обязательному исполнению при осуществлении проектирования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Красные линии - границы, отделяющие территории кварталов, микрорайонов и других элементов планировочной структуры от улиц, проездов и площадей в городе Караганды. Красные линии, как правило, применяются для регулирования границ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Местный орган государственного архитектурно-строительного контроля – исполнительный орган государственного архитектурно-строительного контроля, уполномоченный акиматом Карагандинской области, осуществляющий контрольно-надзорные функции в сфере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Органы государственного контроля – местные и/или территориальные государственные органы, осуществляющие согласование проектных и строительных работ на предмет соответствия строительным, противопожарным, санитарным, экологическим, природоохранным и иным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Подрядчик - юридическое или физическое лицо, осуществляющее в соответствии с лицензией работы в сфере архитектурной, градостроительной и (или) строительной деятельности на территории Республики Казахстан по договору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Незаконное строительство (постройка) - строительство (возведение) самовольных построек (жилые дома, другие строения, сооружения в том числе павильоны, торговые киоски и объекты наружной рекламы или иное недвижимое имущество), созданное на земельном участке, не отведенном для этих целей в порядке, установленном законодательством, а также созданное без получения на это необходимых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Эксплуатирующая организация - организация, осуществляющая эксплуатацию инженерных коммуникаций (водопроводные, канализационные, электрические, газовые и теплоэнергетические сети).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Архитектурно-градостроительный Совет - консультативно-совещательный орган при местном исполнительном органе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Местный орган архитектуры и градостроительства – исполнительный орган архитектуры и градостроительства, финансируемый из местного бюджета, уполномоченный акиматом города Караганды, осуществляющий деятельность в сфере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Архитектурно-планировочное задание - комплекс требований к назначению, основным параметрам и размещению объекта на конкретном земельном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Заказчик (заявитель) - юридическое или физическое лицо, заключающее договор подряда на строительство и осуществляющее свои обязанности в соответствии с гражданским законодательством; заказчиком может быть застройщик или иное лицо, уполномоченное застройщиком, при этом застройщик может передать уполномоченному лицу свои функции во взаимоотношениях с органами государственного контроля и иными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Придомовая территория - придомовая территория является участком общего пользования, прилегающего к данному жилому дому, которая может быть занята дворовыми элементами (проездами, гостевыми карманами, зонами озеленения, газгольдерами, трансформаторными подстанциями, насосными, детскими игровыми, спортивными площадками и местами для отдыха жителей прилегающих домов).</w:t>
      </w:r>
    </w:p>
    <w:bookmarkEnd w:id="6"/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и требования по использованию субъектами архитектурной, градостроительной и строительной деятельности земельных участков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Разработка, согласование, и утверждение градостроительных проектов производятся в соответствии со строительными нормами и правилами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Важнейшие градостроительные узлы рассматривается на архитектурно-градостроительном Совете при акимате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Формирование застройки территорий города Караганды должно осуществляться по генеральному плану развития города Караганды, проектам детальной планировки и проектам застройки районов города с учетом территориальной схемы охраны окружающей среды, как составной части генерального плана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Градостроительные регламенты и ограничения отображаются в актах землепользования в строке "обременения на земельный участок" и в договорах аренды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выборе площадок для организации строительства следует соблюдать планировочные ограничения (линии регулирования застройки, разрывы, отступы, охранные зоны), отображенные на схеме размещения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План ограничений участка выполняется отделом градостроительного кадастра местного органа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Зонирование смежных участков должно быть планировочновзаимоувязано и отвечать санитарно-противоэпидемическим, противопожарным, экологическим требованиям.</w:t>
      </w:r>
    </w:p>
    <w:bookmarkEnd w:id="8"/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Общие условия и требования по проектированию и застройке территории города Караганды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Порядок разработки, согласования, утверждения и состава проектно-сметной документации определяются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Архитектурно-строительная документация рассматривается на архитектурно-градостроительном Совете с целью уточнения проектно-строительных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строительстве объектов, оказывающих влияние на окружающую среду и здоровье населения, необходимо согласование с государственным органом охраны окружающей среды, как на стадии выбора площадок, так и на стадии подготовки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Архитектурно-планировочным заданием, выдаваемым местным органом архитектуры и градостроительства, устанавливается комплекс требований к назначению, основным параметрам и размещению объекта на конкретном земельном участке (площадке, трассе), а также обязательные требования, условия и ограничения к проектированию и строительству, устанавливаемые в соответствии с градостроительными регламентами для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Архитектурно-планировочное задание готовится и выдается органом архитектуры и градостроительства по заявлению застройщика (заказчика)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заявления застройщика (заказчика);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2) решения местного исполнительного органа либо других правоустанавливающих документов на земельный участок, разрешения местного исполнительного органа на изменение существующих объектов - для реконструкции (перепланировки, переоборудования);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задания на проектирование, утверждаемого застройщиком (заказчиком) в соответствии с действующими нормативами;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технических условий на подключение к источникам инженерного и коммунального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и объем исходных материалов, необходимых для выдачи архитектурно-планировочного задания, устанавливаются государственными нормативными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Архитектурно-планировочное задание не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объекты, отведенные в нарушении (не соответствии с целевым назначением) утвержденных проектов детальной планировки районов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объекты, строительство которых уже начато;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незаконно построенные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При проектировании, строительстве и застройке, формировании жилых районов, благоустройстве вновь осваиваемых и реконструируемых территорий должен быть обеспечен доступ инвалидов к жилым, общественным и производственным зданиям, сооружениям и помещениям.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Проектирование и застройка земельного участка должна осуществляться на основе проектов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Проектные и изыскательские работы выполняются проектными, изыскательскими организациями, предприятиями или другими юридическими и физическими лицами, имеющими соответствующие лицензии на проведение указанных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К выполнению строительных работ допускаются строительные организации и предприятия при наличии лицензии на выполнение соответствующих работ, а также застройщик, осуществляющий строительство индивидуального жилого дома собственными силами.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целях обеспечения нормального отдыха и спокойствия граждан запрещается производство строительно-монтажных и ремонтных работ, в том числе производство земляных работ, работ по устройству фундаментов и каркасов зданий, наружных строительно-монтажных работ, погрузочно-разгрузочных и иных работ, сопровождаемых шумом в ночное время (с 23.00 до 6.00 часов), за исключением восстановительных работ по ликвидации аварий инженерных сетей, систем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качестве источника водоснабжения следует использовать централизованные водозаборные сооружения и водоводы. При отсутствии или невозможности их использования, система водоснабжения застройки должна предусматривать использование подземных вод по согласованию с местным органом санитарно-эпидемиологического надзора.</w:t>
      </w:r>
    </w:p>
    <w:bookmarkEnd w:id="10"/>
    <w:bookmarkStart w:name="z6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Застройка селитебных территорий города Караганды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структурно-планировочном отношении жилые территории города Караганды представлены в виде групп жилых зданий, жилых кварталов, микрорайонов, жилых районов и сложившихся жилых образований сформированных поселков.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Новое жилищное строительство должно предусматривать формирование жилой среды в виде градостроительных комплексов и кварталов, обеспечивающих комфортные условия проживания, гарантированный минимум социальных услуг населению и уровень инженерного обеспечения, экономически обоснованный для того или иного типа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Застройка жилых территорий осуществляется на основе архитектурно-градостроительной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При проектировании жилых территорий и размещении жилых домов необходимо предусматривать возможность последующего образования кондоминиумов собственников жилых и нежилых помещений многоквартирных жилых домов с целью содержания и обслуживания домов и земельных участков, на которых они располагаются.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При проектировании комплексов многоквартирных жилых домов необходимо максимально использовать подземное пространство для размещения гаражей и сооружений инженерного оборудования с устройством на поверхности детских игровых, спортивных и хозяйственных площадок с учетом санитарных и противопожарных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Строительство зданий и сооружений за счет реконструкции и уплотнения существующей застройки должно осуществляться при условии соблюдения противопожарных, санитарно-противоэпидемических требований, градостроительных нормативов и градостроительной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При проектировании жилой застройки (новое строительство и реконструкция) следует предусматривать размещение и обустройство элементов дворовых пространств. Придомовая (внутридворовая) территория включает следующие обязательные элементы: подходы и проезды к дому, гостевые автостоянки, территории зеленых насаждений с площадками для игр, спорта и отдыха, состав и размеры которых, а также расстояния от них до жилых и общественных зданий принимать не менее приведенных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Размещение наземных, наземно-подземных, металлических гаражей, открытых стоянок, предназначенных для постоянного и временного хранения легковых автомобилей, и станций технического обслуживания производится согласно утвержденной градостроительной документации, при этом расстояние от них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Размещение металлических гаражей в кварталах, придомовых территориях допускается ветеранам Великой Отечественной войны и приравненным к ним лицам, инвалидам 1 группы при условии наличия архитектурно-градостроительной ситуации испрашиваемой территории во временное краткосрочное землепользование, при наличии прописки в районе предполагаемого размещения гаража и технического паспорта на автотранспортное средство,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гаражей не допускается, если при его размещении и обслуживании необходимо производить вырубку существующих зеленных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Автостоянки могут размещаться в соответствии с утвержденной градостроительной документацией (с учетом требований настоящих норм) ниже и/или выше уровня земли, состоять из подземной и надземной частей (подземных и надземных этажей, в том числе с использованием кровли этих зданий), пристраиваться к зданиям другого или встраиваться в них, в том числе располагаться под этими зданиями в подземных, подвальных, цокольных или в нижних надземных этажах, а также размещаться на специально оборудованной открытой площадке на уровне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подземным этажам автостоянок следует относить этажи при отметке пола помещений ниже планировочной отметки земли более чем на половину высоты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Подземные автостоянки допускается размещать также на незастроенной территории (под проездами, улицами, площадями, скверами, газонами) с благоустройством наземной части, устройства детских игровых и спортивных площадок, озеленения, устройства малых архитектурных 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Открытые площадки и площадки, расположенные под навесами для временного хранения автомобилей, должны иметь твердое покрытие (асфальтобетонное, бетонное) и уклоны в продольном направлений осей автомобилей не более 1 процента и в поперечном – не более 6 процентов. Ограждение должно быть произведено из сварной оцинкованной сетки (возможно применение с полимерным покрытием) из проволоки 5,0 миллиметров (по ГОСТУ 3282-74), ячейками 50 мм х 200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стандартной секции сварной сетки 2000 мм х 2500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Прилегающая территория должна быть благоустроена и озеленена, организованы подъездные пути, противопожарные выезды, по периметру установлены опоры освещения. Операторское помещение (помещение охраны или "Сторожка") предусмотреть одно (двух) этажным зданием, высотой не более 6.0 метров, размерами в плане не более 6.0 м х 4.0 м. На первом этаже предусмотреть помещение для хранения инвентаря, на втором этаже – помещение охраны.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Расстановка автотранспорта на территории автостоянок выполняется с соблюдением следующих расстояний: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продольными сторонами автомобилей - не менее 1,1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торцами автомобилей - не менее 0,5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торцевой стороны автомобиля до ограждения - не менее 0,5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торцевой стороны автомобиля до стационарного технологического оборудования - не менее 0,3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зданий и сооружений на территории автостоянки (контрольно-пропускного пункта - помещения охраны, станции технического обслуживания, автомойки - до мест хранения автотранспорта - не менее 9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Размеры внутренних проездов на территории автостоянок, приведены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учетом рекомендуемого приближения движущегося автомобиля к ограждениям территории автостоянок, к оборудованию и к автомобилям на местах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Проектные решения на строительство пристроек к многоэтажным зданиям жилого и общественного назначения согласовывается с местным органом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Пристройки к существующим жилым домам допустимы на условиях предоставления застройщиком проекта решения фасада всего дома при выведении объектов недвижимости из жилой застройки в нежилую но, не выше первого этажа. При этом строительство пристроек с внутридворовой стороны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жилой площади квартиры за счет пристройки к существующему многоквартирному жилому дому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В реконструируемых из жилых квартир торговых объектов торговые залы площадью более 70 квадратных метров должны иметь не менее двух эвакуационных выходов, отвечающих требованиям строительных норм и правил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Проектирование и размещение площадок летних кафе, располагаемых в зоне проездов для пожарной автотехники, предназначенных для обслуживания ими многоэтажных зданий, допускается только из выносного легкотрансформируемого оборудования (столы, стулья, ограждение, навесы и другое оборудование).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летних кафе допускается только для отдельно стоящих специализированных зданий. При этом размещение летних кафе на придомовой территории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Площадь навесов и настилов из горючих материалов площадок летних кафе, пристраиваемых к зданиям 1, 2 и 3 степеней огнестойкости не должна превышать 50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Размещение мангалов допускается только в специально-оборудованных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При размещении и проектировании автомобильных газозаправочных станций необходимо руководствоваться противопожарными требованиями строительных норм и правил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Совместное размещение автомобильных заправочных станций и автомобильных газозаправочных станций по заправке автотранспорта легковоспламеняющимися жидкостями и горючими жидкостями не допускается. Расстояние от зданий и сооружений автомобильных газозаправочных станций до зданий и сооружений автомобильных заправочных станций по заправке автотранспорта легковоспламеняющимися жидкостями и горючими жидкостями следует принимать не менее 100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При проектировании проездов и пешеходных путей необходимо обеспечивать возможность проезда пожарных машин к жилым и общественным зданиям, в том числе со встроенно-пристроенными помещениями, и доступ пожарных с автомобильных лестниц или автоподъемников в любую квартиру или помещение.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Расстояние от края проезда до стены здания следует принимать не менее 8 метров для зданий до 10 этажей включительно и не менее 10 метров для зданий свыше 10 этажей. В этой зоне не допускается размещать ограждения.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Вдоль фасадов зданий, не имеющих входов, допускается предусматривать полосы шириной 6 метров, пригодные для проезда пожарных машин с учетом их допустимой нагрузки на покрытие или грунт. Под рядовой посадкой деревьев в данном случае необходимо понимать размещение деревьев (с учетом их многолетнего листового покрова) в указанной зоне, препятствующее передвижению и установке (как продольному так фронтальному по отношению к зданию) пожарных автомобильных лестниц и автоподъемников.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Наружные эвакуационные двери зданий не должны иметь запоров, которые не могут быть открыты изнутри без ключа.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Двери лестничных клеток, ведущие в общие коридоры, двери лифтовых холлов и тамбуров-шлюзов должны иметь приспособление для самозакрывания и уплотнения в притворах и не должны иметь запоров, препятствующих их открыванию без ключа.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Двери эвакуационных выходов и другие двери на путях эвакуации должны открываться по направлению выхода из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Не допускается сообщение поэтажных лестничных клеток зданий, учитываемых в расчете путей эвакуации, с подвальным или цокольным этажом.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Выходы из подвальных и цокольных этажей, являющиеся эвакуационными, следует предусматривать непосредственно наружу, обособленными от общих лестничных клеток здания.</w:t>
      </w:r>
    </w:p>
    <w:bookmarkEnd w:id="12"/>
    <w:bookmarkStart w:name="z8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Размещение торговых киосков, павильонов ожидания общественного транспорта, рекламных сооружений и других объектов сервиса на территории города Караганды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На территории города Караганды при наличии соответствующей архитектурно-градостроительной ситуации допускается размещение киосков торгующих газетами и журналами.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Размещение отдельно стоящих рекламных сооружений стационарного характера (билборды, световые табло, стелы, пилоны, транспоранты-перетяжки) определяется конкретной архитектурно-градостроительной ситуацией территории города Караганды. При этом расстояние между билбордами стоящими в створе должно быть не менее 50 метров, световыми табло, стелами, пилонами не менее 50 метров, транспорантами-перетяжками не менее 100 метров, с размещением над проезжей частью улиц транспорантов-перетяжек не ниже 6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Киоски по оказанию бытовых услуг (ремонт обуви, кожаной галантереи и зонтов) размещаются на внутридворовых территориях в порядке, предусмотренном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Земельные участки, на которых расположены торговые киоски, павильоны ожидания общественного транспорта, рекламные сооружения и объекты сервиса могут передаваться владельцам торговых киосков, павильонов, рекламных сооружений и объектов сервиса только в краткосрочное землепользование.</w:t>
      </w:r>
    </w:p>
    <w:bookmarkEnd w:id="14"/>
    <w:bookmarkStart w:name="z9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Проектирование улично-дорожной сети и транспортных сооружений</w:t>
      </w:r>
    </w:p>
    <w:bookmarkEnd w:id="15"/>
    <w:bookmarkStart w:name="z9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Разработанная проектная документация на строительство улично-дорожной сети и транспортных сооружений подлежит согласованию в государственном органе экспертизы проектов, а также с отделом дорожной полиции управления внутренних дел и местным органом архитектуры и градостроительства.</w:t>
      </w:r>
    </w:p>
    <w:bookmarkEnd w:id="16"/>
    <w:bookmarkStart w:name="z9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Охрана памятников историко-культурного наследия</w:t>
      </w:r>
    </w:p>
    <w:bookmarkEnd w:id="17"/>
    <w:bookmarkStart w:name="z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целях обеспечения памятников истории, археологии, градостроительства и архитектуры, монументального искусства устанавливаются охранные зоны, зоны регулирования застройки и зоны охраняемого природного ландшафта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июля 1992 года "Об охране и использовании историко-культурного наследия".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Границы охранных зон, зон регулирования застройки и зон охраняемого природного ландшафта объектов историко-культурного наследия утверждаются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83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18"/>
    <w:bookmarkStart w:name="z9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Незавершенные строительством объекты</w:t>
      </w:r>
    </w:p>
    <w:bookmarkEnd w:id="19"/>
    <w:bookmarkStart w:name="z1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Физические и юридические лица, независимо от форм собственности, имеющие незавершенные строительством объекты жилья и социально культурного быта должны иметь согласованные и утвержденные уполномоченными государственными органами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проектно-сметную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благоустройства и озеленения;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график производства работ и завершения строительства объекта, для объектов социального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Объект незавершенного строительства накрывается строительной сеткой, территория объектов с незавершенным объемом строительства должна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ограждена сплошным забором высотой не менее двух метров, с устройством козырька шириной одного метра для безопасности движения пешеходов и подсвечена по периметру ограждения;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свободной от строительного или иного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85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При въезде на территорию незавершенного строительством объекта должен быть установлен информационный щит (паспорт объекта строительства) выполненного из современных материалов с изображением на полноцветной основе, содержащем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заказчик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подрядчик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название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сроки строительства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 указанием телефона, адреса и наименования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Стационарные строительные механизмы (башенные краны и другие агрегаты) необходимо декоративно подсвечивать световым кабелем в вечернее и ночное время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Незавершенный строительством объект должен быть законсервирован и иметь круглосуточную охрану и закрывающиеся на замок ворота.</w:t>
      </w:r>
    </w:p>
    <w:bookmarkEnd w:id="20"/>
    <w:bookmarkStart w:name="z10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Порядок проектирования, производства работ по строительству и ремонту инженерных сетей и сооружений</w:t>
      </w:r>
    </w:p>
    <w:bookmarkEnd w:id="21"/>
    <w:bookmarkStart w:name="z1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Проектирование и строительство магистральных инженерных сетей и сооружений осуществляется по заказу городских организаций и служб или услугодателей. Физические и юридические лица, заинтересованные в строительстве магистральных инженерных сетей и сооружений в городе Караганды, также могут выступать заказчиками на их проектирование и строительство с последующей передачей сетей на баланс соответствующих служб города или услугодателей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Проектирование разводящих и внутриплощадочных инженерных сетей, обеспечивающих функционирование объектов, а также сетей внутри зданий и сооружений, независимо от их протяженности, осуществляется по заказу застройщиков в соответствии с техническими условиями инженерных служб города. Проектирование инженерных сетей и сооружений осуществляется проектными организациями или физическими лицами, имеющими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строительство наземных инженерных сетей на внутриквартальной территории многоэтажной жилой застройки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89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Для проведения земляных работ по строительству, ремонту и реконструкции инженерных сетей и сооружений, на установку временного ограждения стройплощадки и бурения скважин необходимо оформить лист согласования на производство земляных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листа согласования застройщик (заказчик) обращается с заявлением в местный орган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выдачи листа согласования на производство земляных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инженерных сетей, до начала проектных работ, получить выкопировку из плана города Караганды в масштабе 1:5000 с показанием трассы для проектирования, согласованную с местным органом архитектуры и градостроительства, государственным учреждением "Отдел жилищно-коммунального хозяйства, пассажирского транспорта и автомобильных дорог города Караганды". Проект с показанием трассы выполнить на откорректированной топографической съемке в масштабе 1:500, согласованный с организацией выдавшей технические условия и с местным органом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ремонту и реконструкции подземных инженерных сетей показать (обозначить) ремонтируемый участок на откорректированной топографической съемке в масштабе 1:500 и согласовать с местным органом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установки временного ограждения стройплощадки показать (обозначить) границы установки ограждения на генплане проекта выполненный на откорректированной топографической съемке в масштабе 1:500 (стройгенплан) и согласовать с местным органом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бурении скважин показать (обозначить) точки скважин на генплане проекта, выполненный на откорректированной топографической съемке в масштабе 1:500 и согласовать с местным органом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Лист согласования на производство земляных работ согласовывается заказчиком со всеми заинтересованными физическими и юридическими лицами, чьи интересы затрагиваются,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подлинность и достоверность предоставленных подписей несет заказчик.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Земляные работы по строительству, ремонту инженерных сетей и сооружений (в том числе бурение скважин и установка временного ограждения стройплощадки) проводятся в течение 90 дней после согласования с заинтересованными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91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Строительные организации, осуществляющие производство работ по строительству или ремонту инженерных сетей и сооружений без согласованной проектной документации местного органа архитектуры и градостроительства или без разрешения на производство строительно-монтажных работ местного органа государственного архитектурно-строительного контроля привлекаются административному взысканию в соответствии с административным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92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Для принятия необходимых мер предосторожности и предупреждения повреждений инженерных сетей и сооружений лицу, ответственному за производство работ, необходимо вызвать на место работ представителей заинтересованных организаций, установить совместно с ними точное расположение существующих сетей и сооружений и принять меры к их полной сохранности.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заинтересованных организаций обеспечивают явку своих представителей к месту производства работ и дают исчерпывающие письменные указания по соблюдению условий, необходимых для обеспечения сохранности принадлежащих им сетей и сооружений при производстве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Лицо, ответственное за производство работ, должно до начала работ выполнить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установить по границам разрытия ограждения и предупреждающие дорожные знаки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местах движения пешеходов подготовить пешеходные мостики с поручнями и обеспечить освещение участка разрытия в ночное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меры к обеспечению бесперебойной работы арычной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наличии зеленых насаждений в зоне работы механизмов оградить их глухими щитами, гарантирующими их сохранность. При разрытиях требующих закрытия проездов, соответствующими знаками ясно обозначается объезд;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очистку колес транспортных средств от грунта, глины которые могут загрязнить покрытия проезжей части улицы;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94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Не допускается начинать разработку траншей без предварительной подготовки, гарантирующей максимальное сбережение дорожного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Доставка материалов к месту выполнения работ допускается не ранее чем за 24 часа до начала выполнения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На улицах,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работы выполняются короткими участками в соответствии с проектом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грунт, вынутый из траншеи и котлованов, должен вывозиться с места работ немедленно в места согласованные с местным органом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обратная засыпка траншеи должна производиться гравийно-оптимальной смесью с послойным уплотнением;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прокладке магистральных инженерных сетей по улицам (территория от красной линии до параллельной красной линии), ширина асфальтобетонного покрытия которых 4-7 метров, асфальтобетонное покрытие восстанавливается на всю ширину существующей дороги, а при ширине более 7 метров восстановление асфальтобетонного покрытия выполняется по траншее и в зоне работы строительных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прокладке телефонной канализации, электрических кабелей и других инженерных сетей по тротуарам с шириной асфальтобетонного покрытия 1,5 - 2 метров асфальтобетонное покрытие восстанавливается по всей ширине тротуаров;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восстановление дорожного покрытия производится заказчиком по прокладке сетей силами предприятий имеющих лицензию на данный вид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По окончании разработки траншеи лицо, ответственное за производство работ, должно засвидетельствовать представителю  местного органа государственного архитектурно-строительного контроля соответствие разработки траншеи проекту инженерной сети и оформить данное соответствие 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98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В случае несоответствия проектов трасс инженерных сетей при производстве или окончании строительно-монтажных работ местным органом государственного архитектурно-строительного контроля выдается предписание на перекладку этих сетей. Затраты на переустройство инженерных сетей и их оборудования для приведения в соответствие с проектом выполняются за счет организации, производящей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99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При разрытии грунтовых дорог организация, которая производила разрытие, должна после окончания работ выполнить обратную засыпку с послойным уплотнением грунта. В случае невозможности уплотнения грунта обратную засыпку выполнить несжимаемым грунтом.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В случае появления просадок, разрушения верхнего слоя асфальтобетонного покрытия в местах прокладки инженерных сетей в течении двух лет, владелец сетей должен производить повторное восстановление асфальтобетонного покрытия в десятидневный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101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По окончании монтажа инженерных сетей и строительства инженерных сооружений, но до засыпки грунтом последних строительная организация производит исполнительную топографо-геодезическую съемку.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Исполнительная съемка коммуникаций, имеющих люки и колодцы (на прямых участках без углов поворота), может производиться после засыпки траншей и полного восстановления элементов внешнего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Приемка в эксплуатацию инженерных сетей по окончанию строительства производится государственной приемочной комиссией (приемочной комиссией).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103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Приемка инженерных сетей в эксплуатацию должна производиться после полного завершения всех работ, включая установку люков, колодцев, и полного восстановления элементов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Собственник (эксплуатирующая организация) колодцев, тепловых камер, люков, надземных сооружений инженерных сетей обеспечивает их безопасную эксплуатацию в соответствии с требованиями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105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В случае повреждения при строительстве и проведении проектно-изыскательских работ подземных инженерных сетей, не показанных на топографо-геодезическом плане города, ответственность несут владельцы этих сетей, не организовавшие регистрацию своих сетей на плане города.</w:t>
      </w:r>
    </w:p>
    <w:bookmarkEnd w:id="22"/>
    <w:bookmarkStart w:name="z1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Порядок прохождения разрешительных процедур на размещение и строительство новых объектов недвижимости</w:t>
      </w:r>
    </w:p>
    <w:bookmarkEnd w:id="23"/>
    <w:bookmarkStart w:name="z1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Предоставление земельных участков осуществляется на территориях, предусмотренных для этих целей градостроительной документацией. Порядок предоставления застройщику земельного участка для строительства здания или сооружения определяется законодательством Республики Казахстан,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Местные исполнительные органы разрабатывают генеральный план города, проекты детальной планировки и проекты застройки территорий города, на основании которых производится предоставление земельных участков застройщикам.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Физическое или юридическое лицо (заявитель), имеющее намерение осуществить новое строительство либо произвести изменение существующего объекта, обращается в местный исполнительный орган города Караганды с заявлением о предоставлении земельного участка (прирезке, к имеющемуся дополнительного участка) под строительство запрашиваемого (планируемого)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схема размещения объекта на собственном участке или на новой территории, в которой указывается желаемые границы участка, его целевое назначение, показатели плотности застройки и мощности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заявитель указывает конкретное место и размеры (границы) запрашиваемого земельного участка, то местные органы архитектуры и градостроительства вправе запросить у него упрощенные предпроектные материалы (эскизы) обосновывающие пожелания по местоположению участка основным параметрам объекта, намеченного к строительству.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109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Местный орган архитектуры и градостроительства по материалам утвержденной градостроительной документации выполняет план планировочных ограничений участка с уточненными границами, красными линиями прилегающих к участку улиц, линиями регулирования застройки, целевым назначением участка по учетной форме градостроительного кадастра, опись градостроительных регламентов и ограничений участка, обоснование рекомендуемой формы собственности. Эти данные являются исходными для составления земельно-кадастрового дела и принятия решения о предоставлении земельного участка для обеспечения разрешенного использования земельных участков и иных объектов недвижимости в градостроительстве.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110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Рассмотрение и согласование градостроительной и архитектурно-строительной документации, представленной застройщиком (заказчиком), осуществляется органами государственного контроля в двухнедельный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111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Начало строительства объектов, которые могут оказать отрицательное воздействие на окружающую среду и здоровье населения возможно только после прохождения проектных материалов процедур государственной экологической экспертизы и наличия положительного заключения государственной экологической экспертизы по проектным решениям.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Вынос в натуру границ участка, осей здания или сооружения, выполняется по заявкам застройщиков специализированными организациями, имеющими на данный вид работ соответствующую лицензию с участием, по мере необходимости, других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-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Рассмотрение проектной документации на строительство с выдачей заключений и предписаний в местных органах государственного пожарного надзора, санитарно - эпидемиологического надзора производится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архитектурные и эскизные проекты - в течении 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рабочая документация на строительство - в течении 30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Сроки рассмотрения представленных заявителями документов в местном органе архитектуры и градостроительства для выдачи исходных данных и архитектурно планировочного задания на разработку проекта реконструкции (перепланировки, переоборудования) помещений или иных частей жилого здания (или мотивированного отказа в их выдаче) не должны превышать трех рабочих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116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Сроки рассмотрения заявлений поставщиками услуг о предоставлении технических условий на подключение к сетям и согласование условий размещения вблизи сетей - 5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117 с изменениями, внесенными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24"/>
    <w:bookmarkStart w:name="z1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Разрешение на производство строительно-монтажных работ</w:t>
      </w:r>
    </w:p>
    <w:bookmarkEnd w:id="25"/>
    <w:bookmarkStart w:name="z1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Карагандинского городского маслихата от 29.06.2011 </w:t>
      </w:r>
      <w:r>
        <w:rPr>
          <w:rFonts w:ascii="Times New Roman"/>
          <w:b w:val="false"/>
          <w:i w:val="false"/>
          <w:color w:val="000000"/>
          <w:sz w:val="28"/>
        </w:rPr>
        <w:t>N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Разрешение на производство строительно-монтажных работ выдается на основании заявления и прилагаемых документов, перечень которых устанавливается уполномоченным государственным органом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119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Разрешение на производство строительно-монтажных работ выдается в целом по объекту (комплексу), за исключением случаев, если объект или комплекс объектов предусматривается проектировать и строить поэтапно и государственная экспертиза таких проектов осуществляется в режиме экспертного сопровождения (с оформлением соответствующих локальных положительных заключений по соответствующим этапам проектирования). В указанных случаях разрешение на производство строительно-монтажных работ (начало строительства) выдается по отдельному блоку (зданию, сооружению), входящему в состав объекта или комплекса, а также на выполнение отдельных этапов строительства - земляные работы по устройству котлованов, прокладке коммуникаций, работ по устройству фундаментов и другие, входящие в состав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120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Документы, представленные заявителем для получения разрешения на производство строительно-монтажных работ (начало строительства), рассматриваются не более семи рабочих дней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производство строительно-монтажных работ (начало строительства) действует в течение всего срока нормативной продолжительности строительства, утвержденной в составе проектной (проектно-сметной) документации. Если объект не был завершен в течение срока нормативной продолжительности, то для продолжения строительства заказчик (застройщик) обязан получить новое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121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Новое разрешение для продолжения строительства выдается на основании пункта 119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122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При смене первоначального заказчика (застройщика) стройки или ведущей строительство подрядной (генподрядной) организации, ранее выданное разрешение подлежит перерегистрации по заявлению заказчика (застройщика). Такое заявление в срок не позднее двадцати календарных дней со дня произошедших изменений подается в орган, выдавший это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противном случае ранее выданное разрешение утрачивает силу по истечении указанного срока подачи заявления на перерегистрацию.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123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26"/>
    <w:bookmarkStart w:name="z1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Порядок прохождения разрешительных процедур на изменение (перепрофилирование, переоборудование, перепланировку, реконструкцию, расширение, капитальный ремонт) существующих объектов недвижимости</w:t>
      </w:r>
    </w:p>
    <w:bookmarkEnd w:id="27"/>
    <w:bookmarkStart w:name="z1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Лица, заинтересованные в изменении жилых и нежилых помещений в жилых зданиях, а также его иных отдельных частей, и имеющие соответствующее решение местного исполнительного органа, обращаются с заявлением в местные органы государственного архитектурно-строительного контроля, для получения разрешения на производство соответствующих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право собственности заявителя на изменяемое помещение (часть здания), с предоставлением подлинников для установления государственным органом, рассматривающим заявление, подлинности документов, либо нотариально засвидетельствованное письменное согласие собственника (сособственников) помещений или частей здания на их изменение;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(эскиз) предполагаемых изменений, выполненный в соответствии с архитектурно-планировочным заданием соответствующего местного органа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124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собственников других помещений (частей дома), смежных с изменяемыми помещениями (частями дома), то к заявлению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получения заказчиком реконструкции (перепланировки, переоборудования) указанного согласия других собственников (сособственников) устанавливается на стадии разработки проекта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строительства, утвержденными Постановлением Правительства Республики Казахстан от 6 мая 2008 года N 425.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125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Отказ в выдаче разрешения на производство строительно-монтажных работ по изменению существующих помещений (частей здания) осуществляется в случаях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заявителя отсутствует соответствующее право собственности на изменяемый объект, либо нотариально засвидетельствованное письменное согласие собственника (сособственников) помещения или частей здания на заявленные изменения, а также собственников иных помещений, чьи интересы затрагивают указанные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планируемое изменение предполагает использование помещения (частей здания) для вида деятельности, который запрещен или ограничен нормативными правовыми актами или нормативно-техническими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несоответствии проекта изменений техническим условиям или требованиям государственных нормативов.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выдается заявителю в письменном виде с указанием конкретных нормативных правовых актов и (или) нормативно-технических документов, которым не соответствуют документы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заявителем замечаний, на основании которых был получен мотивированный отказ в выдаче разрешения, повторное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126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Выдача разрешения на производство строительно-монтажных работ по изменению помещений (частей здания) или отказ в его выдаче осуществляется в течении пяти рабочих дней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127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28"/>
    <w:bookmarkStart w:name="z1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Содержание фасадов зданий и сооружений</w:t>
      </w:r>
    </w:p>
    <w:bookmarkEnd w:id="29"/>
    <w:bookmarkStart w:name="z1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Руководители предприятий и организаций, в ведении которых находятся здания и сооружения, собственники зданий и сооружений должны обеспечить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 и другое), а также поддерживать в чистоте и исправном состоянии расположенные на фасадах информационные таблички, памятные доски.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Не допускается самовольное переоборудование фасадов зданий и конструктивных элементов.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Собственники и юридические лица, имеющие здания, строения и сооружения на праве хозяйственного ведения или оперативного управления, должны проводить работы по надлежащему содержанию зданий, строений, сооружений и иных объектов недвижимости на земельных участках в соответствии с градостроительной и проектной документацией, градостроительными нормативами и правилами, экологическими, санитарными, противопожарными и иными специальными нормами, в том числе по проведению ремонта и реставрации фасадов принадлежащих им зданий и сооружений за счет собственных или привлеченных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В случае если в собственности юридических или физических лиц, в хозяйственном ведении или оперативном управлении юридических лиц находятся отдельные нежилые помещения в нежилых или жилых зданиях, то данным лицам необходимо принять долевое участие в ремонте и реставрации фасадов названных зданий пропорционально занимаемым площадям. При проведении планового сплошного ремонта и реставрации фасада здания или сооружения лица, принимающие в нем долевое участие, могут объединять средства, направляемые на эти цели, в размерах, пропорциональных занимаемым площадям.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Арендаторы зданий, помещений и сооружений несут обязательства по ремонту, реставрации и реконструкции фасадов зданий и сооружений в соответствии с условиями договора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Ремонт, реставрация и реконструкция фасадов зданий и сооружений, являющихся памятниками архитектуры, истории или культуры, проводятся в соответствии с охранными обязательствами по согласованию с Управлением охраны памятников и органами архитектуры и градостроительства согласно нормативам и правилам, устанавливаемым правовыми актами Республики Казахстан.</w:t>
      </w:r>
    </w:p>
    <w:bookmarkEnd w:id="30"/>
    <w:bookmarkStart w:name="z1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Приемка объектов в эксплуатацию завершенного строительства</w:t>
      </w:r>
    </w:p>
    <w:bookmarkEnd w:id="31"/>
    <w:bookmarkStart w:name="z1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Приемка в эксплуатацию объектов после завершения их строительства, реконструкции, расширения, технического перевооружения, реставрации и капитального ремонта (при полной готовности объектов) осуществляется в порядке, установленном законодательством Республики Казахстан, государственной приемочной комиссией или приемочной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134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До оформления государственного акта приемки в эксплуатацию заказчики совместно со строительной организацией и службами города готовят: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акты о промежуточной приемке;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акты на скрытые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акты об испытании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сертификаты и паспорта на строительные материалы и 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экспертное заключение на проектную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Утвержденный в установленном порядке акт приемки построенного объекта в эксплуатацию является основанием для регистрации объекта в государственном органе регистрации прав на недвижимое имущество и сделок с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136 в редакции решения Карагандинского городского маслихата от 08.12.2010 </w:t>
      </w:r>
      <w:r>
        <w:rPr>
          <w:rFonts w:ascii="Times New Roman"/>
          <w:b w:val="false"/>
          <w:i w:val="false"/>
          <w:color w:val="00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32"/>
    <w:bookmarkStart w:name="z1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Контроль за осуществлением градостроительной деятельности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137. Контроль за осуществлением градостроительной деятельности направлен на обеспечение реализации государственной политики в области градостроительства в соответствии с генеральным планом и иной градостроительной документацией, настоящими правилами застройки, государственными градостроительными нормативами.</w:t>
      </w:r>
    </w:p>
    <w:bookmarkStart w:name="z1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Ответственность за нарушение настоящих правил</w:t>
      </w:r>
    </w:p>
    <w:bookmarkEnd w:id="34"/>
    <w:bookmarkStart w:name="z1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За нарушение настоящих Правил физические, юридические, должностные лица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Контроль за выполнением настоящих правил осуществляют в соответствии с законодательством Республики Казахстан контролирующие и уполномоченные органы, каждый в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Действия и решения уполномоченных органов по настоящим правилам могут быть обжалованы в суде.</w:t>
      </w:r>
    </w:p>
    <w:bookmarkEnd w:id="35"/>
    <w:bookmarkStart w:name="z16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Заключительные положения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141. Какие либо изменения, дополнения, поправки, уточнения в утвержденную редакцию Правил застройки вносятся по представлению местного исполнительного органа местным представительным органом, утвердившим данные Правила.</w:t>
      </w:r>
    </w:p>
    <w:bookmarkStart w:name="z1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застройки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города Караганды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внутренних проездов на территории автостоянок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1"/>
        <w:gridCol w:w="1725"/>
        <w:gridCol w:w="1554"/>
        <w:gridCol w:w="1832"/>
        <w:gridCol w:w="1747"/>
        <w:gridCol w:w="1362"/>
        <w:gridCol w:w="1769"/>
      </w:tblGrid>
      <w:tr>
        <w:trPr>
          <w:trHeight w:val="315" w:hRule="atLeast"/>
        </w:trPr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автомобилей, 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внутреннего проезда, метр, в местах хранения автомобилей при установке автомобилей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передним ходом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задним ходом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дополнительного маневра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маневром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дополнительного маневра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установки автомобилей к оси проезда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</w:tr>
      <w:tr>
        <w:trPr>
          <w:trHeight w:val="6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особо малого класса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6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малого класса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6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среднего класса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945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представительского класса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315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</w:tbl>
    <w:bookmarkStart w:name="z1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застройки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города Караганды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размеры размещение площадок при проектировании жилой застройки (новое строительство и реконструкция), а также расстояния от них до жилых и общественных зданий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7"/>
        <w:gridCol w:w="4367"/>
        <w:gridCol w:w="5166"/>
      </w:tblGrid>
      <w:tr>
        <w:trPr>
          <w:trHeight w:val="126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Удельные размеры площадок, квадратный метр/человек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Расстояния от площадок до окон жилых и общественных зданий, метр</w:t>
            </w:r>
          </w:p>
        </w:tc>
      </w:tr>
      <w:tr>
        <w:trPr>
          <w:trHeight w:val="126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игр детей дошкольного и младшего школьного возраста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отдыха взрослого населения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занятий физкультурой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</w:t>
            </w:r>
          </w:p>
        </w:tc>
      </w:tr>
      <w:tr>
        <w:trPr>
          <w:trHeight w:val="126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хозяйственных целей и выгула собак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(для хозяйственных целей) 40 (для выгула собак)</w:t>
            </w:r>
          </w:p>
        </w:tc>
      </w:tr>
      <w:tr>
        <w:trPr>
          <w:trHeight w:val="6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стоянки автомашин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</w:p>
        </w:tc>
      </w:tr>
    </w:tbl>
    <w:bookmarkStart w:name="z1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застройки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города Караганды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0"/>
        <w:gridCol w:w="1580"/>
        <w:gridCol w:w="1580"/>
        <w:gridCol w:w="1580"/>
        <w:gridCol w:w="1581"/>
        <w:gridCol w:w="1579"/>
        <w:gridCol w:w="1580"/>
      </w:tblGrid>
      <w:tr>
        <w:trPr>
          <w:trHeight w:val="315" w:hRule="atLeast"/>
        </w:trPr>
        <w:tc>
          <w:tcPr>
            <w:tcW w:w="4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до которых определяется расстояние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Расстояние, метр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гаражей и открытых стоянок при числе легковых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станций технического обслуживания при числе постов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 менее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11-50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101-300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 менее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11-30</w:t>
            </w:r>
          </w:p>
        </w:tc>
      </w:tr>
      <w:tr>
        <w:trPr>
          <w:trHeight w:val="315" w:hRule="atLeast"/>
        </w:trPr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10**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торцы жилых домов без окон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10**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10**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здания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10**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10**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25" w:hRule="atLeast"/>
        </w:trPr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и детские дошкольные учреждения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630" w:hRule="atLeast"/>
        </w:trPr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учреждения со стационаром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Определяется по согласованию с органами Государственного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Для зданий гаражей III-V степеней огнестойкости расстояния следует принимать не менее 12 метров.</w:t>
      </w:r>
    </w:p>
    <w:bookmarkStart w:name="z1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Расстояния от секционных жилых домов до открытых площадок вместимостью 101-300 машин, размещаемых вдоль продольных фасадов, следует принимать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гаражей I-II степеней огнестойкости указанные в приложении 3 расстояния допускается сокращать на 25% при отсутствии в гаражах открывающихся окон, а также въездов, ориентированных в сторону жилых и общественных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Гаражи и открытые стоянки для хранения легковых автомобилей вместимостью более 300 машино-мест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метров от жилых домов. Расстояния определяются по согласованию с органами Государственного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гаражей вместимостью более 10 машин указанные в приложении 3 расстояния допускается принимать по интерполяции.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одноэтажных гаражах боксового типа, принадлежащих гражданам, допускается устройство погребов.</w:t>
      </w:r>
    </w:p>
    <w:bookmarkEnd w:id="40"/>
    <w:bookmarkStart w:name="z1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застройки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города Караганды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проект капитального гаража на 1 машиноместо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4 в соответствии с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ff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разрез 1-1                          главный фасад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план                        размер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27,5 квадратных метров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328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32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застройки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города Караганды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проект металлического гаража на 1 машиноместо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5 в соответствии с решением Карагандинского городского маслихата от 08.12.2010 </w:t>
      </w:r>
      <w:r>
        <w:rPr>
          <w:rFonts w:ascii="Times New Roman"/>
          <w:b w:val="false"/>
          <w:i w:val="false"/>
          <w:color w:val="ff0000"/>
          <w:sz w:val="28"/>
        </w:rPr>
        <w:t>N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разрез 1-1                            главный фасад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868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план                         размер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24,0 квадратных метров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804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</w:p>
    <w:bookmarkStart w:name="z1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Расстояния от секционных жилых домов до открытых площадок вместимостью 101-300 машин, размещаемых вдоль продольных фасадов, следует принимать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гаражей I-II степеней огнестойкости указанные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>расстояния допускается сокращать на 25% при отсутствии в гаражах открывающихся окон, а также въездов, ориентированных в сторону жилых и общественных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метров от жилых домов. Расстояния определяются по согласованию с органами Государственного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гаражей вместимостью более 10 машин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>расстояния допускается принимать по интерполяции.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одноэтажных гаражах боксового типа, принадлежащих гражданам, допускается устройство погребов.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