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a546" w14:textId="752a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для инвалидов на социальное обслуживание на дому, в том числе для детей-инвалидов, нуждающихся в постороннем уходе и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352. Зарегистрировано Управлением юстиции Жамбылского района Северо-Казахстанской области 25 января 2008 года N 13-7-70.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для инвалидов на социальное обслуживание </w:t>
      </w:r>
      <w:r>
        <w:rPr>
          <w:rFonts w:ascii="Times New Roman"/>
          <w:b w:val="false"/>
          <w:i w:val="false"/>
          <w:color w:val="111600"/>
          <w:sz w:val="28"/>
        </w:rPr>
        <w:t xml:space="preserve">на дому,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том </w:t>
      </w:r>
      <w:r>
        <w:rPr>
          <w:rFonts w:ascii="Times New Roman"/>
          <w:b w:val="false"/>
          <w:i w:val="false"/>
          <w:color w:val="111600"/>
          <w:sz w:val="28"/>
        </w:rPr>
        <w:t xml:space="preserve">числе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детей-инвалидов, нуждающихся </w:t>
      </w:r>
      <w:r>
        <w:rPr>
          <w:rFonts w:ascii="Times New Roman"/>
          <w:b w:val="false"/>
          <w:i w:val="false"/>
          <w:color w:val="1116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постороннем уходе </w:t>
      </w:r>
      <w:r>
        <w:rPr>
          <w:rFonts w:ascii="Times New Roman"/>
          <w:b w:val="false"/>
          <w:i w:val="false"/>
          <w:color w:val="111600"/>
          <w:sz w:val="28"/>
        </w:rPr>
        <w:t>и помощи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352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«Оформление документов для инвалидов на социальное обслуживание на дому, в том числе для детей-инвалидов, нуждающихся в постороннем уходе и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назначению государственного пособия семьям, имеющим детей до 18 лет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111600"/>
          <w:sz w:val="28"/>
        </w:rPr>
        <w:t xml:space="preserve"> 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социального обслуживания на дому,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</w:t>
      </w:r>
      <w:r>
        <w:rPr>
          <w:rFonts w:ascii="Times New Roman"/>
          <w:b w:val="false"/>
          <w:i w:val="false"/>
          <w:color w:val="111600"/>
          <w:sz w:val="28"/>
        </w:rPr>
        <w:t xml:space="preserve">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декабря 2005 года № 306-п «Об утверждении </w:t>
      </w:r>
      <w:r>
        <w:rPr>
          <w:rFonts w:ascii="Times New Roman"/>
          <w:b w:val="false"/>
          <w:i w:val="false"/>
          <w:color w:val="111600"/>
          <w:sz w:val="28"/>
        </w:rPr>
        <w:t xml:space="preserve">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социального обслуживания» (зарегистрированное в </w:t>
      </w:r>
      <w:r>
        <w:rPr>
          <w:rFonts w:ascii="Times New Roman"/>
          <w:b w:val="false"/>
          <w:i w:val="false"/>
          <w:color w:val="111600"/>
          <w:sz w:val="28"/>
        </w:rPr>
        <w:t xml:space="preserve">Реестре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нормативных правовых актов за № 3985),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социального обслуживания на дому детгй </w:t>
      </w:r>
      <w:r>
        <w:rPr>
          <w:rFonts w:ascii="Times New Roman"/>
          <w:b w:val="false"/>
          <w:i w:val="false"/>
          <w:color w:val="111600"/>
          <w:sz w:val="28"/>
        </w:rPr>
        <w:t xml:space="preserve">с ограниченными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7 июля 2003 </w:t>
      </w:r>
      <w:r>
        <w:rPr>
          <w:rFonts w:ascii="Times New Roman"/>
          <w:b w:val="false"/>
          <w:i w:val="false"/>
          <w:color w:val="111600"/>
          <w:sz w:val="28"/>
        </w:rPr>
        <w:t xml:space="preserve">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139 «Об утверждении Правил </w:t>
      </w:r>
      <w:r>
        <w:rPr>
          <w:rFonts w:ascii="Times New Roman"/>
          <w:b w:val="false"/>
          <w:i w:val="false"/>
          <w:color w:val="111600"/>
          <w:sz w:val="28"/>
        </w:rPr>
        <w:t xml:space="preserve">социального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обслуживания на дому детей с ограниченными возможностями </w:t>
      </w:r>
      <w:r>
        <w:rPr>
          <w:rFonts w:ascii="Times New Roman"/>
          <w:b w:val="false"/>
          <w:i w:val="false"/>
          <w:color w:val="111600"/>
          <w:sz w:val="28"/>
        </w:rPr>
        <w:t xml:space="preserve">и Положения об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отделении социальной помощи на дому по обслуживанию детей с </w:t>
      </w:r>
      <w:r>
        <w:rPr>
          <w:rFonts w:ascii="Times New Roman"/>
          <w:b w:val="false"/>
          <w:i w:val="false"/>
          <w:color w:val="111600"/>
          <w:sz w:val="28"/>
        </w:rPr>
        <w:t xml:space="preserve">ограниченными </w:t>
      </w:r>
      <w:r>
        <w:rPr>
          <w:rFonts w:ascii="Times New Roman"/>
          <w:b w:val="false"/>
          <w:i w:val="false"/>
          <w:color w:val="000000"/>
          <w:sz w:val="28"/>
        </w:rPr>
        <w:t>возможностями» (зарегистрированное в Реестре государственной</w:t>
      </w:r>
      <w:r>
        <w:rPr>
          <w:rFonts w:ascii="Times New Roman"/>
          <w:b w:val="false"/>
          <w:i w:val="false"/>
          <w:color w:val="111600"/>
          <w:sz w:val="28"/>
        </w:rPr>
        <w:t xml:space="preserve">регистрации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 за № 990).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 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одинокие инвалиды первой, </w:t>
      </w:r>
      <w:r>
        <w:rPr>
          <w:rFonts w:ascii="Times New Roman"/>
          <w:b w:val="false"/>
          <w:i w:val="false"/>
          <w:color w:val="111600"/>
          <w:sz w:val="28"/>
        </w:rPr>
        <w:t xml:space="preserve">второй </w:t>
      </w:r>
      <w:r>
        <w:rPr>
          <w:rFonts w:ascii="Times New Roman"/>
          <w:b w:val="false"/>
          <w:i w:val="false"/>
          <w:color w:val="000000"/>
          <w:sz w:val="28"/>
        </w:rPr>
        <w:t>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дети инвалиды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имеется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копию удостоверения личности (свидетельство о </w:t>
      </w:r>
      <w:r>
        <w:rPr>
          <w:rFonts w:ascii="Times New Roman"/>
          <w:b w:val="false"/>
          <w:i w:val="false"/>
          <w:color w:val="111600"/>
          <w:sz w:val="28"/>
        </w:rPr>
        <w:t>рождении для детей-</w:t>
      </w:r>
      <w:r>
        <w:rPr>
          <w:rFonts w:ascii="Times New Roman"/>
          <w:b w:val="false"/>
          <w:i w:val="false"/>
          <w:color w:val="000000"/>
          <w:sz w:val="28"/>
        </w:rPr>
        <w:t>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медицинская 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акт обследования материально-бытовых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удостоверение, подтверждающее статус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копия выписки из индивидуальной программы реабилитации </w:t>
      </w:r>
      <w:r>
        <w:rPr>
          <w:rFonts w:ascii="Times New Roman"/>
          <w:b w:val="false"/>
          <w:i w:val="false"/>
          <w:color w:val="111600"/>
          <w:sz w:val="28"/>
        </w:rPr>
        <w:t xml:space="preserve">инвалида </w:t>
      </w:r>
      <w:r>
        <w:rPr>
          <w:rFonts w:ascii="Times New Roman"/>
          <w:b w:val="false"/>
          <w:i w:val="false"/>
          <w:color w:val="000000"/>
          <w:sz w:val="28"/>
        </w:rPr>
        <w:t>(для 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заключение психолого</w:t>
      </w:r>
      <w:r>
        <w:rPr>
          <w:rFonts w:ascii="Times New Roman"/>
          <w:b w:val="false"/>
          <w:i w:val="false"/>
          <w:color w:val="1116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медико-педагогической </w:t>
      </w:r>
      <w:r>
        <w:rPr>
          <w:rFonts w:ascii="Times New Roman"/>
          <w:b w:val="false"/>
          <w:i w:val="false"/>
          <w:color w:val="111600"/>
          <w:sz w:val="28"/>
        </w:rPr>
        <w:t>консультации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детей-инвалидов).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предоставляются в подлинниках </w:t>
      </w:r>
      <w:r>
        <w:rPr>
          <w:rFonts w:ascii="Times New Roman"/>
          <w:b w:val="false"/>
          <w:i w:val="false"/>
          <w:color w:val="1116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копиях </w:t>
      </w:r>
      <w:r>
        <w:rPr>
          <w:rFonts w:ascii="Times New Roman"/>
          <w:b w:val="false"/>
          <w:i w:val="false"/>
          <w:color w:val="111600"/>
          <w:sz w:val="28"/>
        </w:rPr>
        <w:t xml:space="preserve">для сверки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подтверждающих документов, после чего </w:t>
      </w:r>
      <w:r>
        <w:rPr>
          <w:rFonts w:ascii="Times New Roman"/>
          <w:b w:val="false"/>
          <w:i w:val="false"/>
          <w:color w:val="111600"/>
          <w:sz w:val="28"/>
        </w:rPr>
        <w:t xml:space="preserve">подлинники документов </w:t>
      </w:r>
      <w:r>
        <w:rPr>
          <w:rFonts w:ascii="Times New Roman"/>
          <w:b w:val="false"/>
          <w:i w:val="false"/>
          <w:color w:val="000000"/>
          <w:sz w:val="28"/>
        </w:rPr>
        <w:t>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 Жамбылский района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 Жамбылский района село Пресновка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 подается на имя начальника Государственного учреждении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 ,город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для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2253"/>
        <w:gridCol w:w="2453"/>
        <w:gridCol w:w="2073"/>
      </w:tblGrid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  удовлетворенных существующим порядком обжалования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  удовлетворенных сроками обжалования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  удовлетворенных вежливостью персонала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