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e0b7" w14:textId="107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392 от 19 декабря 2007 года. Зарегистрировано Департаментом юстиции Южно-Казахстанской области от 9 января 2008 года за N 1972. Утратило силу постановлением акимата Южно-Казахстанской области от 8 декабря 2009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08.12.2009 N 384.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"Постановка на учетную регистрацию (перерегистрацию) граждан, занимающихся миссионерской деятельностью".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Мынбай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2007 года N 392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Стандарт оказания государственной услуги       "Постановка на учетную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>
граждан, занимающихся миссионерской деятельностью"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Постановка на учетную регистрацию - это учет граждан Республики Казахстан, иностранцев и лиц без гражданства, которые осуществляют миссионерскую деятельность на территории Республики Казахстан. Осуществление миссионерской деятельности без учетной регистрации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данной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Постановка на учетную регистрацию (перерегистрацию) граждан, занимающихся миссионерской деятельностью оказывается на основании следующих законодательных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января 1992 года "О свободе вероисповедания и религиозных объединениях";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 от 17 июля 2003 года 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Правительства Республики Казахстан от 28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N 136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Данную государственную услугу предоставляет департамент внутренней политики Южно-Казахстанской области, находящийся по адресу: город Шымкент, проспект Бейбитшилик, дом N 3; официальный сайт акимата Южно-Казахстанской области: www.ontustik.kz.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данной государственной услуги является свидетельство об учетной регистрации граждан Республики Казахстан, иностранцев и лиц без гражданства, осуществляющих миссионерскую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данной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данной государственной услуги с момента регистрации письменного обращения физических лиц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физическим лицам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данной государственной услуги размещен на визуальном источнике информации в кабинете отдела по работе с религиозными объединениями департамента внутренней политики ЮКО: в газетах "Оңтүстік Қазақстан", "Южный Казахстан"; на официальном сайте акимата Южно-Казахстанской области: www.ontustik.kz.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департамента внутренней политики Южно-Казахстанской области: прием документов в кабинете 323, ежедневно с 9.00 до 18.00 часов с перерывом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записи и ускоренного обслуживания физических лиц для получения данной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отделе по работе с религиозными объединениями департамента внутренней политики Южно-Казахстанской области для предоставления данной государственной услуги созданы следующие условия: стол, два стула, кондиционер в кабинете 323 для поддержания оптимальной температуры в летний период, стенд с образцами заявлении, перечнем необходимых документов.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в отдел по работе с религиозными объединениями департамента внутренней политики Южно-Казахстанской области следующие документы согласно перечню: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вероисповедной принадлежности,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доверенности или иного документа, выданного религиозным объединением на право осуществления миссионерской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литературу, аудио-видеоматериалы и (или) иные предметы религиозного назначения, предназначенные для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заявитель предъявляет паспорт или иной документ, удостоверяющий личность, зарегистрированный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Местом выдачи бланков, форм заявлений о постановке на учетную регистрацию (перерегистрацию) граждан, занимающихся миссионерской деятельностью является отдел по работе с религиозными объединениями департамента внутренней политики Южно-Казахстанской области, кабинет 323; официальный сайт акимата Южно-Казахстанской области: www.ontustik.kz.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 потребителем сдаются лично специалистам отдела по работе с религиозными объединениями департамента внутренней политики Южно-Казахстанской области, кабинет 323, тел.: 53-46-56.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свидетельство об учетной регистрации иностранного гражданина, осуществляющего миссионерскую деятельность осуществляется при личном посещении потребителем отдела по работе с религиозными объединениями департамента внутренней политики Южно-Казахстанской области, находящегося по адресу: город Шымкент, проспект Бейбитшилик, дом N3, кабинет 323.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или отказа в предоставлении данной государственной услуги физическому лицу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не предоставившие необходимых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Специалисты отдела по работе с религиозными объединениями департамента внутренней политики Южно-Казахстанской области по отношению к потребителю данной государственной услуги руководствуются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 и дача исчерпывающей информации о данной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 конфиденциальности информации о содержании документов потребителя.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данной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по работе с религиозными объединениями департамента внутренней политики Южно-Казахстанской области, ежегодно утверждаются специально созданными рабочими группами.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действий (бездействий) отдела по работе с религиозными объединениями департамента внутренней политики Южно-Казахстанской области разъясняются заместителем директора департамента внутренней политики Южно-Казахстанской области, председателем комиссии по постановке на учетную регистрацию (перерегистрацию) граждан, занимающихся миссионерской деятельностью кабинет 325, телефон: 23-31-31.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директора департамента внутренней политики Южно-Казахстанской области в административный отдел для регистрации, кабинет 326, тел.: 53-45-48.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жалобы, является талон, зарегистрированный в журнале регистрации, выдаваемый административным отделом департамента внутренней политики Южно-Казахстанской области, где указывается место получения ответа на поданную жалобу и срок рассмотрения жалобы. О ходе рассмотрения жалобы можно узнать у сотрудников административного отдела департамента внутренней политики Южно-Казахстанской области по контактному телефону: 53-45-48.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департамента внутренней политики Южно-Казахстанской области: почтовый адрес: 160012, город Шымкент, проспект Бейбитшилик, дом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приемной директора департамента внутренней политики Южно-Казахстанской области: 33-97-93.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директора департамента внутренней политики Южно-Казахстанской области: 23-31-31.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специалистов отдела по работе с религиозными объединениями департамента внутренней политики Южно-Казахстанской области: 53-46-56.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9.00 до 18.00 часов, перерыв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личного приема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директором департамента внутренней политики Южно-Казахстанской области: третий четверг месяца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департамента внутренней политики Южно-Казахстанской области: по пятницам с 10.00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 - акимат Южно-Казахстанской области: город Шымкент, проспект Тауке хана, дом N6, тел.: 53-74-43, факс: 53-05-27.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размещена на на официальном сайте акимата Южно-Казахстанской области: www.ontustik.kz.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"Постановка на учетную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(перерегистрацию)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занимающихся миссионерской деятельностью"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1"/>
        <w:gridCol w:w="2610"/>
        <w:gridCol w:w="3025"/>
        <w:gridCol w:w="2424"/>
      </w:tblGrid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1185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75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45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66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