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2cf" w14:textId="0c2b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23 ноября 2004 года № 429а-I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октября 2008 года № 481. Зарегистрирован в Министерстве юстиции Республики Казахстан 10 ноября 2008 года № 5355.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а также в целях совершенствования системы организации железнодорожных пассажирских перевозок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ноября 2004 года № 429а-I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(зарегистрированный в Реестре государственной регистрации нормативных правовых актов за № 3232, опубликованный в Бюллетене нормативных правовых актов центральных исполнительных и иных государственных органов Республики Казахстан 2005 г., № 3-8, ст. 22, с изменениями и дополнениями, внесенными приказами Министра транспорта и коммуникаций Республики Казахстан от 9 ноября 2005 года № </w:t>
      </w:r>
      <w:r>
        <w:rPr>
          <w:rFonts w:ascii="Times New Roman"/>
          <w:b w:val="false"/>
          <w:i w:val="false"/>
          <w:color w:val="000000"/>
          <w:sz w:val="28"/>
        </w:rPr>
        <w:t>341-I</w:t>
      </w:r>
      <w:r>
        <w:rPr>
          <w:rFonts w:ascii="Times New Roman"/>
          <w:b w:val="false"/>
          <w:i w:val="false"/>
          <w:color w:val="000000"/>
          <w:sz w:val="28"/>
        </w:rPr>
        <w:t xml:space="preserve"> "О внесении дополнений в приказ Министра транспорта и коммуникаций Республики Казахстан от 23 ноября 2004 года № 429а-I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зарегистрированный в Реестре государственной регистрации нормативных правовых актов за № 3936, опубликованный в газете "Юридическая газета" от 9 декабря 2005 года № 230-231 (944-965); от 26 июля 2006 года № </w:t>
      </w:r>
      <w:r>
        <w:rPr>
          <w:rFonts w:ascii="Times New Roman"/>
          <w:b w:val="false"/>
          <w:i w:val="false"/>
          <w:color w:val="000000"/>
          <w:sz w:val="28"/>
        </w:rPr>
        <w:t xml:space="preserve">188 </w:t>
      </w:r>
      <w:r>
        <w:rPr>
          <w:rFonts w:ascii="Times New Roman"/>
          <w:b w:val="false"/>
          <w:i w:val="false"/>
          <w:color w:val="000000"/>
          <w:sz w:val="28"/>
        </w:rPr>
        <w:t>"О внесении дополнений в приказ Министра транспорта и коммуникаций Республики Казахстан от 23 ноября 2004 года № 429а-І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зарегистрированный в Реестре государственной регистрации нормативных правовых актов за № 4335, опубликованный в газетах "Юридическая газета" от 16 августа 2006 года № 149 (1129), "Официальная газета" от 16 сентября 2006 года № 38 (300); от 10 августа 2007 года № </w:t>
      </w:r>
      <w:r>
        <w:rPr>
          <w:rFonts w:ascii="Times New Roman"/>
          <w:b w:val="false"/>
          <w:i w:val="false"/>
          <w:color w:val="000000"/>
          <w:sz w:val="28"/>
        </w:rPr>
        <w:t xml:space="preserve">176 </w:t>
      </w:r>
      <w:r>
        <w:rPr>
          <w:rFonts w:ascii="Times New Roman"/>
          <w:b w:val="false"/>
          <w:i w:val="false"/>
          <w:color w:val="000000"/>
          <w:sz w:val="28"/>
        </w:rPr>
        <w:t xml:space="preserve">"О внесении изменений и дополнений в приказ Министра транспорта и коммуникаций Республики Казахстан от 23 ноября 2004 года № 429а-І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зарегистрированный в Реестре государственной регистрации нормативных правовых актов за № 4927, опубликованный в газетах "Юридическая газета" от 4 октября 2007 года № 152 (1355), "Официальная газета" от 20 октября 2007 года № 42 (356))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 </w:t>
      </w:r>
      <w:r>
        <w:rPr>
          <w:rFonts w:ascii="Times New Roman"/>
          <w:b w:val="false"/>
          <w:i w:val="false"/>
          <w:color w:val="000000"/>
          <w:sz w:val="28"/>
        </w:rPr>
        <w:t xml:space="preserve">: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наличие соответствующего требованиям технической безопасности собственного, арендованного или используемого на других законных основаниях пассажирского подвижного состава для организации пассажирских перевозок, при этом, количество собственных или арендованных пассажирских вагонов (кроме вагонов Акционерного общества "Пассажирская лизинговая вагонная компания") должно составлять не менее 20 % от требуемого количества вагонов;";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4), 5),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 сведения о наличии собственного штата работников поездных бригад, необходимого для обслуживания соответствующих социально значимых маршрутов, и/или гарантийное письмо-обязательство о приеме на работу штата работников поездных бригад перевозчика, ранее обслуживавшего социально значимый маршрут; </w:t>
      </w:r>
      <w:r>
        <w:br/>
      </w:r>
      <w:r>
        <w:rPr>
          <w:rFonts w:ascii="Times New Roman"/>
          <w:b w:val="false"/>
          <w:i w:val="false"/>
          <w:color w:val="000000"/>
          <w:sz w:val="28"/>
        </w:rPr>
        <w:t xml:space="preserve">
      5) наличие первоначальных денежных средств на счету в банке в размере не менее 3 % от предлагаемого объема субсидии, для организации перевозок в начальной стадии работы; </w:t>
      </w:r>
      <w:r>
        <w:br/>
      </w:r>
      <w:r>
        <w:rPr>
          <w:rFonts w:ascii="Times New Roman"/>
          <w:b w:val="false"/>
          <w:i w:val="false"/>
          <w:color w:val="000000"/>
          <w:sz w:val="28"/>
        </w:rPr>
        <w:t xml:space="preserve">
      6) наличие собственного съемного инвентаря для пассажирских поездов.";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11 </w:t>
      </w:r>
      <w:r>
        <w:rPr>
          <w:rFonts w:ascii="Times New Roman"/>
          <w:b w:val="false"/>
          <w:i w:val="false"/>
          <w:color w:val="000000"/>
          <w:sz w:val="28"/>
        </w:rPr>
        <w:t xml:space="preserve">дополнить подпунктами 7), 8), 9)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"7) сведения о предлагаемом уровне тарифов на перевозку пассажиров по заявленным социально значимым сообщениям; </w:t>
      </w:r>
      <w:r>
        <w:br/>
      </w:r>
      <w:r>
        <w:rPr>
          <w:rFonts w:ascii="Times New Roman"/>
          <w:b w:val="false"/>
          <w:i w:val="false"/>
          <w:color w:val="000000"/>
          <w:sz w:val="28"/>
        </w:rPr>
        <w:t xml:space="preserve">
      8) справку с банка о наличии первоначальных денежных средств на счету в банке; </w:t>
      </w:r>
      <w:r>
        <w:br/>
      </w:r>
      <w:r>
        <w:rPr>
          <w:rFonts w:ascii="Times New Roman"/>
          <w:b w:val="false"/>
          <w:i w:val="false"/>
          <w:color w:val="000000"/>
          <w:sz w:val="28"/>
        </w:rPr>
        <w:t xml:space="preserve">
      9) счет фактуры и акты инвентаризации установленной формы подтверждающие наличие собственного съемного инвентаря для пассажирских поездов в количестве согласно приложению 5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дополнить пунктом 30-1 следующего содержания: </w:t>
      </w:r>
      <w:r>
        <w:br/>
      </w:r>
      <w:r>
        <w:rPr>
          <w:rFonts w:ascii="Times New Roman"/>
          <w:b w:val="false"/>
          <w:i w:val="false"/>
          <w:color w:val="000000"/>
          <w:sz w:val="28"/>
        </w:rPr>
        <w:t xml:space="preserve">
      "30-1. Заявки потенциального поставщика на участие в тендере действительны до истечения календарного 10 дневного срока после подписания всеми членами комиссии протокола об итогах тендера.";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31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"31. При отказе победителя от заключения договора, уполномоченный орган заключает договор с другим участником тендера, предложение которого является наиболее предпочтительным после предложения победителя. При этом сумма обеспечения заявки на участие в тендере организатором тендера не возвращается потенциальному поставщику, определенному победителем тендера.";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33 </w:t>
      </w:r>
      <w:r>
        <w:rPr>
          <w:rFonts w:ascii="Times New Roman"/>
          <w:b w:val="false"/>
          <w:i w:val="false"/>
          <w:color w:val="000000"/>
          <w:sz w:val="28"/>
        </w:rPr>
        <w:t xml:space="preserve">слова "комиссия объявляет о повторном проведении тендера" заменить словами "комиссия принимает одно из следующих решений: </w:t>
      </w:r>
      <w:r>
        <w:br/>
      </w:r>
      <w:r>
        <w:rPr>
          <w:rFonts w:ascii="Times New Roman"/>
          <w:b w:val="false"/>
          <w:i w:val="false"/>
          <w:color w:val="000000"/>
          <w:sz w:val="28"/>
        </w:rPr>
        <w:t xml:space="preserve">
      1) о повторном проведении повторного тендера; </w:t>
      </w:r>
      <w:r>
        <w:br/>
      </w:r>
      <w:r>
        <w:rPr>
          <w:rFonts w:ascii="Times New Roman"/>
          <w:b w:val="false"/>
          <w:i w:val="false"/>
          <w:color w:val="000000"/>
          <w:sz w:val="28"/>
        </w:rPr>
        <w:t xml:space="preserve">
      2) об изменении конкурсной документации и повторном проведении тендера; </w:t>
      </w:r>
      <w:r>
        <w:br/>
      </w:r>
      <w:r>
        <w:rPr>
          <w:rFonts w:ascii="Times New Roman"/>
          <w:b w:val="false"/>
          <w:i w:val="false"/>
          <w:color w:val="000000"/>
          <w:sz w:val="28"/>
        </w:rPr>
        <w:t xml:space="preserve">
      3) заключения договора способом из одного источника."; </w:t>
      </w:r>
      <w:r>
        <w:br/>
      </w:r>
      <w:r>
        <w:rPr>
          <w:rFonts w:ascii="Times New Roman"/>
          <w:b w:val="false"/>
          <w:i w:val="false"/>
          <w:color w:val="000000"/>
          <w:sz w:val="28"/>
        </w:rPr>
        <w:t xml:space="preserve">
      дополнить пунктом 33-1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"33-1. В случае признания тендера несостоявшимся в связи с тем, что к участию в конкурсе допущен только один потенциальный поставщик, комиссия может принять решение о заключении с ним Договора о субсидировании убытков перевозчика, связанных с осуществлением пассажирских перевозок по социально значимым межобластным сообщениям из одного источника. Цена заключенного договора не должна превышать сумму, выделенную для тендера, признанного несостоявшимся в силу допуска к участию в конкурсе одного потенциального поставщика.";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главой 6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xml:space="preserve">
      "6. Обеспечение заявки на участие в тендере </w:t>
      </w:r>
      <w:r>
        <w:br/>
      </w:r>
      <w:r>
        <w:rPr>
          <w:rFonts w:ascii="Times New Roman"/>
          <w:b w:val="false"/>
          <w:i w:val="false"/>
          <w:color w:val="000000"/>
          <w:sz w:val="28"/>
        </w:rPr>
        <w:t xml:space="preserve">
      36. Обеспечение заявки на участие в тендере вносится потенциальным поставщиком в качестве гарантии того, что он заключит договор, предусмотренный тендерной документацией, в случае объявления его победителем тендера. </w:t>
      </w:r>
      <w:r>
        <w:br/>
      </w:r>
      <w:r>
        <w:rPr>
          <w:rFonts w:ascii="Times New Roman"/>
          <w:b w:val="false"/>
          <w:i w:val="false"/>
          <w:color w:val="000000"/>
          <w:sz w:val="28"/>
        </w:rPr>
        <w:t xml:space="preserve">
      37. Обеспечение заявки на участие в тендере вносится в размере 3 % от предлагаемой перевозчиком суммы тендерной заявки. </w:t>
      </w:r>
      <w:r>
        <w:br/>
      </w:r>
      <w:r>
        <w:rPr>
          <w:rFonts w:ascii="Times New Roman"/>
          <w:b w:val="false"/>
          <w:i w:val="false"/>
          <w:color w:val="000000"/>
          <w:sz w:val="28"/>
        </w:rPr>
        <w:t xml:space="preserve">
      38. Потенциальный поставщик выбирает один из следующих видов обеспечения заявки на участие в тендере: </w:t>
      </w:r>
      <w:r>
        <w:br/>
      </w:r>
      <w:r>
        <w:rPr>
          <w:rFonts w:ascii="Times New Roman"/>
          <w:b w:val="false"/>
          <w:i w:val="false"/>
          <w:color w:val="000000"/>
          <w:sz w:val="28"/>
        </w:rPr>
        <w:t xml:space="preserve">
      1) гарантийный денежный взнос, который вносится на банковский счет организатора тендера; </w:t>
      </w:r>
      <w:r>
        <w:br/>
      </w:r>
      <w:r>
        <w:rPr>
          <w:rFonts w:ascii="Times New Roman"/>
          <w:b w:val="false"/>
          <w:i w:val="false"/>
          <w:color w:val="000000"/>
          <w:sz w:val="28"/>
        </w:rPr>
        <w:t xml:space="preserve">
      2) банковскую гарантию. </w:t>
      </w:r>
      <w:r>
        <w:br/>
      </w: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 </w:t>
      </w:r>
      <w:r>
        <w:br/>
      </w:r>
      <w:r>
        <w:rPr>
          <w:rFonts w:ascii="Times New Roman"/>
          <w:b w:val="false"/>
          <w:i w:val="false"/>
          <w:color w:val="000000"/>
          <w:sz w:val="28"/>
        </w:rPr>
        <w:t xml:space="preserve">
      39. Организатор тендера возвращает потенциальному поставщику внесенное им обеспечение заявки на участие в тендере в течение 5 (пяти) банковских дней со дня наступления одного из следующих случаев: </w:t>
      </w:r>
      <w:r>
        <w:br/>
      </w:r>
      <w:r>
        <w:rPr>
          <w:rFonts w:ascii="Times New Roman"/>
          <w:b w:val="false"/>
          <w:i w:val="false"/>
          <w:color w:val="000000"/>
          <w:sz w:val="28"/>
        </w:rPr>
        <w:t xml:space="preserve">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 </w:t>
      </w:r>
      <w:r>
        <w:br/>
      </w:r>
      <w:r>
        <w:rPr>
          <w:rFonts w:ascii="Times New Roman"/>
          <w:b w:val="false"/>
          <w:i w:val="false"/>
          <w:color w:val="000000"/>
          <w:sz w:val="28"/>
        </w:rPr>
        <w:t xml:space="preserve">
      2) подписания договора; </w:t>
      </w:r>
      <w:r>
        <w:br/>
      </w:r>
      <w:r>
        <w:rPr>
          <w:rFonts w:ascii="Times New Roman"/>
          <w:b w:val="false"/>
          <w:i w:val="false"/>
          <w:color w:val="000000"/>
          <w:sz w:val="28"/>
        </w:rPr>
        <w:t xml:space="preserve">
      3) истечения срока действия заявки потенциального поставщика на участие в тендере."; </w:t>
      </w:r>
      <w:r>
        <w:br/>
      </w:r>
      <w:r>
        <w:rPr>
          <w:rFonts w:ascii="Times New Roman"/>
          <w:b w:val="false"/>
          <w:i w:val="false"/>
          <w:color w:val="000000"/>
          <w:sz w:val="28"/>
        </w:rPr>
        <w:t>
</w:t>
      </w:r>
      <w:r>
        <w:rPr>
          <w:rFonts w:ascii="Times New Roman"/>
          <w:b w:val="false"/>
          <w:i w:val="false"/>
          <w:color w:val="000000"/>
          <w:sz w:val="28"/>
        </w:rPr>
        <w:t>
      главу 2 </w:t>
      </w:r>
      <w:r>
        <w:rPr>
          <w:rFonts w:ascii="Times New Roman"/>
          <w:b w:val="false"/>
          <w:i w:val="false"/>
          <w:color w:val="000000"/>
          <w:sz w:val="28"/>
        </w:rPr>
        <w:t xml:space="preserve">Приложения 4 </w:t>
      </w:r>
      <w:r>
        <w:rPr>
          <w:rFonts w:ascii="Times New Roman"/>
          <w:b w:val="false"/>
          <w:i w:val="false"/>
          <w:color w:val="000000"/>
          <w:sz w:val="28"/>
        </w:rPr>
        <w:t xml:space="preserve">к указанным Правилам дополнить пунктами 2.5. и 2.6.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"2.5. Исполнитель обязан согласовывать с Заказчиком повышение тарифов на железнодорожные пассажирские перевозки по социально значимым сообщениям, убытки которых подлежат субсидированию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2.6. Заказчик проводит хронометраж в пассажирских поездах Исполнителя на предмет соблюдения Правил перевозок пассажиров, груза и грузобагажа железнодорожным транспортом в Республике Казахстан.";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приложением 5 </w:t>
      </w:r>
      <w:r>
        <w:rPr>
          <w:rFonts w:ascii="Times New Roman"/>
          <w:b w:val="false"/>
          <w:i w:val="false"/>
          <w:color w:val="000000"/>
          <w:sz w:val="28"/>
        </w:rPr>
        <w:t xml:space="preserve">согласно приложению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Комитету транспорта и путей сообщения Министерства транспорта и коммуникаций Республики Казахстан (Уандыков Б.К.) обеспечить представление настоящего приказа в Министерство юстиции Республики Казахстан для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Касымбек Ж.М.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rPr>
          <w:rFonts w:ascii="Times New Roman"/>
          <w:b w:val="false"/>
          <w:i w:val="false"/>
          <w:color w:val="000000"/>
          <w:sz w:val="28"/>
        </w:rPr>
        <w:t xml:space="preserve">                                     </w:t>
      </w:r>
      <w:r>
        <w:rPr>
          <w:rFonts w:ascii="Times New Roman"/>
          <w:b w:val="false"/>
          <w:i/>
          <w:color w:val="000000"/>
          <w:sz w:val="28"/>
        </w:rPr>
        <w:t xml:space="preserve">С. Ахметов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Министра транспорта </w:t>
      </w:r>
      <w:r>
        <w:br/>
      </w:r>
      <w:r>
        <w:rPr>
          <w:rFonts w:ascii="Times New Roman"/>
          <w:b w:val="false"/>
          <w:i w:val="false"/>
          <w:color w:val="000000"/>
          <w:sz w:val="28"/>
        </w:rPr>
        <w:t xml:space="preserve">
и коммуникаций Республики Казахстан </w:t>
      </w:r>
      <w:r>
        <w:br/>
      </w:r>
      <w:r>
        <w:rPr>
          <w:rFonts w:ascii="Times New Roman"/>
          <w:b w:val="false"/>
          <w:i w:val="false"/>
          <w:color w:val="000000"/>
          <w:sz w:val="28"/>
        </w:rPr>
        <w:t xml:space="preserve">
от 23 октября 2008 года N 481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проведения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w:t>
      </w:r>
    </w:p>
    <w:bookmarkStart w:name="z33" w:id="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предметов съемного оборудования и инвентаря пассажирских вагонов, предназначенных для перевозки пассажиров по социально </w:t>
      </w:r>
      <w:r>
        <w:br/>
      </w:r>
      <w:r>
        <w:rPr>
          <w:rFonts w:ascii="Times New Roman"/>
          <w:b/>
          <w:i w:val="false"/>
          <w:color w:val="000000"/>
        </w:rPr>
        <w:t xml:space="preserve">
значимым межобластным сообщениям </w:t>
      </w:r>
    </w:p>
    <w:bookmarkEnd w:id="2"/>
    <w:p>
      <w:pPr>
        <w:spacing w:after="0"/>
        <w:ind w:left="0"/>
        <w:jc w:val="both"/>
      </w:pPr>
      <w:r>
        <w:rPr>
          <w:rFonts w:ascii="Times New Roman"/>
          <w:b w:val="false"/>
          <w:i w:val="false"/>
          <w:color w:val="000000"/>
          <w:sz w:val="28"/>
        </w:rPr>
        <w:t xml:space="preserve">      Знак (*) перед наименованием оборудования и инвентаря указывает на ссылки в примечании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502"/>
        <w:gridCol w:w="1090"/>
        <w:gridCol w:w="2605"/>
        <w:gridCol w:w="2626"/>
        <w:gridCol w:w="2566"/>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инвентаря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вагоны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РИЦ, СВ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Купейные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Плацкартные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*Шторы оконные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окно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окно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*Занавески </w:t>
            </w:r>
            <w:r>
              <w:br/>
            </w:r>
            <w:r>
              <w:rPr>
                <w:rFonts w:ascii="Times New Roman"/>
                <w:b w:val="false"/>
                <w:i w:val="false"/>
                <w:color w:val="000000"/>
                <w:sz w:val="20"/>
              </w:rPr>
              <w:t xml:space="preserve">
оконные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окно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окно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окно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Ковровая дорожка </w:t>
            </w:r>
            <w:r>
              <w:br/>
            </w:r>
            <w:r>
              <w:rPr>
                <w:rFonts w:ascii="Times New Roman"/>
                <w:b w:val="false"/>
                <w:i w:val="false"/>
                <w:color w:val="000000"/>
                <w:sz w:val="20"/>
              </w:rPr>
              <w:t xml:space="preserve">
коридорная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Покрышка </w:t>
            </w:r>
            <w:r>
              <w:br/>
            </w:r>
            <w:r>
              <w:rPr>
                <w:rFonts w:ascii="Times New Roman"/>
                <w:b w:val="false"/>
                <w:i w:val="false"/>
                <w:color w:val="000000"/>
                <w:sz w:val="20"/>
              </w:rPr>
              <w:t xml:space="preserve">
жаккардовая для </w:t>
            </w:r>
            <w:r>
              <w:br/>
            </w:r>
            <w:r>
              <w:rPr>
                <w:rFonts w:ascii="Times New Roman"/>
                <w:b w:val="false"/>
                <w:i w:val="false"/>
                <w:color w:val="000000"/>
                <w:sz w:val="20"/>
              </w:rPr>
              <w:t xml:space="preserve">
коридорной </w:t>
            </w:r>
            <w:r>
              <w:br/>
            </w:r>
            <w:r>
              <w:rPr>
                <w:rFonts w:ascii="Times New Roman"/>
                <w:b w:val="false"/>
                <w:i w:val="false"/>
                <w:color w:val="000000"/>
                <w:sz w:val="20"/>
              </w:rPr>
              <w:t xml:space="preserve">
дорожки (19 м х </w:t>
            </w:r>
            <w:r>
              <w:br/>
            </w:r>
            <w:r>
              <w:rPr>
                <w:rFonts w:ascii="Times New Roman"/>
                <w:b w:val="false"/>
                <w:i w:val="false"/>
                <w:color w:val="000000"/>
                <w:sz w:val="20"/>
              </w:rPr>
              <w:t xml:space="preserve">
0,40 м)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Коврик купейный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купе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купе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Пылесос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Шахматы, шашки, </w:t>
            </w:r>
            <w:r>
              <w:br/>
            </w:r>
            <w:r>
              <w:rPr>
                <w:rFonts w:ascii="Times New Roman"/>
                <w:b w:val="false"/>
                <w:i w:val="false"/>
                <w:color w:val="000000"/>
                <w:sz w:val="20"/>
              </w:rPr>
              <w:t xml:space="preserve">
нарды с доской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*Освежитель </w:t>
            </w:r>
            <w:r>
              <w:br/>
            </w:r>
            <w:r>
              <w:rPr>
                <w:rFonts w:ascii="Times New Roman"/>
                <w:b w:val="false"/>
                <w:i w:val="false"/>
                <w:color w:val="000000"/>
                <w:sz w:val="20"/>
              </w:rPr>
              <w:t xml:space="preserve">
воздуха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*Огнетушитель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*Салфетка для </w:t>
            </w:r>
            <w:r>
              <w:br/>
            </w:r>
            <w:r>
              <w:rPr>
                <w:rFonts w:ascii="Times New Roman"/>
                <w:b w:val="false"/>
                <w:i w:val="false"/>
                <w:color w:val="000000"/>
                <w:sz w:val="20"/>
              </w:rPr>
              <w:t xml:space="preserve">
столика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купе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купе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купе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Спинки диванные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 ватный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*Чехол матрацный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матрац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матрац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матрац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*Подушка перовая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Наперник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*Одеяло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Мешок </w:t>
            </w:r>
            <w:r>
              <w:br/>
            </w:r>
            <w:r>
              <w:rPr>
                <w:rFonts w:ascii="Times New Roman"/>
                <w:b w:val="false"/>
                <w:i w:val="false"/>
                <w:color w:val="000000"/>
                <w:sz w:val="20"/>
              </w:rPr>
              <w:t xml:space="preserve">
маркированный для </w:t>
            </w:r>
            <w:r>
              <w:br/>
            </w:r>
            <w:r>
              <w:rPr>
                <w:rFonts w:ascii="Times New Roman"/>
                <w:b w:val="false"/>
                <w:i w:val="false"/>
                <w:color w:val="000000"/>
                <w:sz w:val="20"/>
              </w:rPr>
              <w:t xml:space="preserve">
чистого белья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10 комплектов белья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Мешок </w:t>
            </w:r>
            <w:r>
              <w:br/>
            </w:r>
            <w:r>
              <w:rPr>
                <w:rFonts w:ascii="Times New Roman"/>
                <w:b w:val="false"/>
                <w:i w:val="false"/>
                <w:color w:val="000000"/>
                <w:sz w:val="20"/>
              </w:rPr>
              <w:t xml:space="preserve">
маркированный для </w:t>
            </w:r>
            <w:r>
              <w:br/>
            </w:r>
            <w:r>
              <w:rPr>
                <w:rFonts w:ascii="Times New Roman"/>
                <w:b w:val="false"/>
                <w:i w:val="false"/>
                <w:color w:val="000000"/>
                <w:sz w:val="20"/>
              </w:rPr>
              <w:t xml:space="preserve">
грязного белья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10 комплектов белья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Полотенце для </w:t>
            </w:r>
            <w:r>
              <w:br/>
            </w:r>
            <w:r>
              <w:rPr>
                <w:rFonts w:ascii="Times New Roman"/>
                <w:b w:val="false"/>
                <w:i w:val="false"/>
                <w:color w:val="000000"/>
                <w:sz w:val="20"/>
              </w:rPr>
              <w:t xml:space="preserve">
посуды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сутки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сутки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сутки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 для </w:t>
            </w:r>
            <w:r>
              <w:br/>
            </w:r>
            <w:r>
              <w:rPr>
                <w:rFonts w:ascii="Times New Roman"/>
                <w:b w:val="false"/>
                <w:i w:val="false"/>
                <w:color w:val="000000"/>
                <w:sz w:val="20"/>
              </w:rPr>
              <w:t xml:space="preserve">
заварки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купе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купе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купе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*Чайник для </w:t>
            </w:r>
            <w:r>
              <w:br/>
            </w:r>
            <w:r>
              <w:rPr>
                <w:rFonts w:ascii="Times New Roman"/>
                <w:b w:val="false"/>
                <w:i w:val="false"/>
                <w:color w:val="000000"/>
                <w:sz w:val="20"/>
              </w:rPr>
              <w:t xml:space="preserve">
кипятка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*Ножи и вилки </w:t>
            </w:r>
            <w:r>
              <w:br/>
            </w:r>
            <w:r>
              <w:rPr>
                <w:rFonts w:ascii="Times New Roman"/>
                <w:b w:val="false"/>
                <w:i w:val="false"/>
                <w:color w:val="000000"/>
                <w:sz w:val="20"/>
              </w:rPr>
              <w:t xml:space="preserve">
столовые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*Пиала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*Чайные пары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*Ложка чайная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*Тарелка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Разнос </w:t>
            </w:r>
            <w:r>
              <w:br/>
            </w:r>
            <w:r>
              <w:rPr>
                <w:rFonts w:ascii="Times New Roman"/>
                <w:b w:val="false"/>
                <w:i w:val="false"/>
                <w:color w:val="000000"/>
                <w:sz w:val="20"/>
              </w:rPr>
              <w:t xml:space="preserve">
пластиковый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Вешалка-плечики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место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Папка для билетов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Маршрутная доска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Порядковый номер </w:t>
            </w:r>
            <w:r>
              <w:br/>
            </w:r>
            <w:r>
              <w:rPr>
                <w:rFonts w:ascii="Times New Roman"/>
                <w:b w:val="false"/>
                <w:i w:val="false"/>
                <w:color w:val="000000"/>
                <w:sz w:val="20"/>
              </w:rPr>
              <w:t xml:space="preserve">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*Ведро </w:t>
            </w:r>
            <w:r>
              <w:br/>
            </w:r>
            <w:r>
              <w:rPr>
                <w:rFonts w:ascii="Times New Roman"/>
                <w:b w:val="false"/>
                <w:i w:val="false"/>
                <w:color w:val="000000"/>
                <w:sz w:val="20"/>
              </w:rPr>
              <w:t xml:space="preserve">
хозяйственное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Бачок для ершика </w:t>
            </w:r>
            <w:r>
              <w:br/>
            </w:r>
            <w:r>
              <w:rPr>
                <w:rFonts w:ascii="Times New Roman"/>
                <w:b w:val="false"/>
                <w:i w:val="false"/>
                <w:color w:val="000000"/>
                <w:sz w:val="20"/>
              </w:rPr>
              <w:t xml:space="preserve">
(закрытый)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Ершик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Фонарь ручной </w:t>
            </w:r>
            <w:r>
              <w:br/>
            </w:r>
            <w:r>
              <w:rPr>
                <w:rFonts w:ascii="Times New Roman"/>
                <w:b w:val="false"/>
                <w:i w:val="false"/>
                <w:color w:val="000000"/>
                <w:sz w:val="20"/>
              </w:rPr>
              <w:t xml:space="preserve">
сигнальный </w:t>
            </w:r>
            <w:r>
              <w:br/>
            </w:r>
            <w:r>
              <w:rPr>
                <w:rFonts w:ascii="Times New Roman"/>
                <w:b w:val="false"/>
                <w:i w:val="false"/>
                <w:color w:val="000000"/>
                <w:sz w:val="20"/>
              </w:rPr>
              <w:t xml:space="preserve">
трехцветный </w:t>
            </w:r>
            <w:r>
              <w:br/>
            </w:r>
            <w:r>
              <w:rPr>
                <w:rFonts w:ascii="Times New Roman"/>
                <w:b w:val="false"/>
                <w:i w:val="false"/>
                <w:color w:val="000000"/>
                <w:sz w:val="20"/>
              </w:rPr>
              <w:t xml:space="preserve">
(красный, желтый, </w:t>
            </w:r>
            <w:r>
              <w:br/>
            </w:r>
            <w:r>
              <w:rPr>
                <w:rFonts w:ascii="Times New Roman"/>
                <w:b w:val="false"/>
                <w:i w:val="false"/>
                <w:color w:val="000000"/>
                <w:sz w:val="20"/>
              </w:rPr>
              <w:t xml:space="preserve">
зеленый)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Флажки сигнальные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3/4 </w:t>
            </w:r>
            <w:r>
              <w:br/>
            </w:r>
            <w:r>
              <w:rPr>
                <w:rFonts w:ascii="Times New Roman"/>
                <w:b w:val="false"/>
                <w:i w:val="false"/>
                <w:color w:val="000000"/>
                <w:sz w:val="20"/>
              </w:rPr>
              <w:t xml:space="preserve">
(куртка) для </w:t>
            </w:r>
            <w:r>
              <w:br/>
            </w:r>
            <w:r>
              <w:rPr>
                <w:rFonts w:ascii="Times New Roman"/>
                <w:b w:val="false"/>
                <w:i w:val="false"/>
                <w:color w:val="000000"/>
                <w:sz w:val="20"/>
              </w:rPr>
              <w:t xml:space="preserve">
разноски чая </w:t>
            </w:r>
            <w:r>
              <w:br/>
            </w:r>
            <w:r>
              <w:rPr>
                <w:rFonts w:ascii="Times New Roman"/>
                <w:b w:val="false"/>
                <w:i w:val="false"/>
                <w:color w:val="000000"/>
                <w:sz w:val="20"/>
              </w:rPr>
              <w:t xml:space="preserve">
белый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w:t>
            </w:r>
            <w:r>
              <w:br/>
            </w:r>
            <w:r>
              <w:rPr>
                <w:rFonts w:ascii="Times New Roman"/>
                <w:b w:val="false"/>
                <w:i w:val="false"/>
                <w:color w:val="000000"/>
                <w:sz w:val="20"/>
              </w:rPr>
              <w:t xml:space="preserve">
брезентовые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w:t>
            </w:r>
            <w:r>
              <w:br/>
            </w:r>
            <w:r>
              <w:rPr>
                <w:rFonts w:ascii="Times New Roman"/>
                <w:b w:val="false"/>
                <w:i w:val="false"/>
                <w:color w:val="000000"/>
                <w:sz w:val="20"/>
              </w:rPr>
              <w:t xml:space="preserve">
резиновые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Тряпкодержатель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 большой для </w:t>
            </w:r>
            <w:r>
              <w:br/>
            </w:r>
            <w:r>
              <w:rPr>
                <w:rFonts w:ascii="Times New Roman"/>
                <w:b w:val="false"/>
                <w:i w:val="false"/>
                <w:color w:val="000000"/>
                <w:sz w:val="20"/>
              </w:rPr>
              <w:t xml:space="preserve">
котла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 малый для </w:t>
            </w:r>
            <w:r>
              <w:br/>
            </w:r>
            <w:r>
              <w:rPr>
                <w:rFonts w:ascii="Times New Roman"/>
                <w:b w:val="false"/>
                <w:i w:val="false"/>
                <w:color w:val="000000"/>
                <w:sz w:val="20"/>
              </w:rPr>
              <w:t xml:space="preserve">
котла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Резак большой для </w:t>
            </w:r>
            <w:r>
              <w:br/>
            </w:r>
            <w:r>
              <w:rPr>
                <w:rFonts w:ascii="Times New Roman"/>
                <w:b w:val="false"/>
                <w:i w:val="false"/>
                <w:color w:val="000000"/>
                <w:sz w:val="20"/>
              </w:rPr>
              <w:t xml:space="preserve">
котла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Резак малый для </w:t>
            </w:r>
            <w:r>
              <w:br/>
            </w:r>
            <w:r>
              <w:rPr>
                <w:rFonts w:ascii="Times New Roman"/>
                <w:b w:val="false"/>
                <w:i w:val="false"/>
                <w:color w:val="000000"/>
                <w:sz w:val="20"/>
              </w:rPr>
              <w:t xml:space="preserve">
титана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для отбивки </w:t>
            </w:r>
            <w:r>
              <w:br/>
            </w:r>
            <w:r>
              <w:rPr>
                <w:rFonts w:ascii="Times New Roman"/>
                <w:b w:val="false"/>
                <w:i w:val="false"/>
                <w:color w:val="000000"/>
                <w:sz w:val="20"/>
              </w:rPr>
              <w:t xml:space="preserve">
льда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состав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Халат для уборки </w:t>
            </w:r>
            <w:r>
              <w:br/>
            </w:r>
            <w:r>
              <w:rPr>
                <w:rFonts w:ascii="Times New Roman"/>
                <w:b w:val="false"/>
                <w:i w:val="false"/>
                <w:color w:val="000000"/>
                <w:sz w:val="20"/>
              </w:rPr>
              <w:t xml:space="preserve">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Аптечка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состав (аварийная и текущая в </w:t>
            </w:r>
            <w:r>
              <w:br/>
            </w:r>
            <w:r>
              <w:rPr>
                <w:rFonts w:ascii="Times New Roman"/>
                <w:b w:val="false"/>
                <w:i w:val="false"/>
                <w:color w:val="000000"/>
                <w:sz w:val="20"/>
              </w:rPr>
              <w:t xml:space="preserve">
штабном вагоне, см. приложение 8)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для Ф-30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Носилки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Термометр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педикулезная </w:t>
            </w:r>
            <w:r>
              <w:br/>
            </w:r>
            <w:r>
              <w:rPr>
                <w:rFonts w:ascii="Times New Roman"/>
                <w:b w:val="false"/>
                <w:i w:val="false"/>
                <w:color w:val="000000"/>
                <w:sz w:val="20"/>
              </w:rPr>
              <w:t xml:space="preserve">
укладка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в штабном вагоне, см. </w:t>
            </w:r>
            <w:r>
              <w:br/>
            </w:r>
            <w:r>
              <w:rPr>
                <w:rFonts w:ascii="Times New Roman"/>
                <w:b w:val="false"/>
                <w:i w:val="false"/>
                <w:color w:val="000000"/>
                <w:sz w:val="20"/>
              </w:rPr>
              <w:t xml:space="preserve">
приложение 7)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Емкость закрытая </w:t>
            </w:r>
            <w:r>
              <w:br/>
            </w:r>
            <w:r>
              <w:rPr>
                <w:rFonts w:ascii="Times New Roman"/>
                <w:b w:val="false"/>
                <w:i w:val="false"/>
                <w:color w:val="000000"/>
                <w:sz w:val="20"/>
              </w:rPr>
              <w:t xml:space="preserve">
для хранения </w:t>
            </w:r>
            <w:r>
              <w:br/>
            </w:r>
            <w:r>
              <w:rPr>
                <w:rFonts w:ascii="Times New Roman"/>
                <w:b w:val="false"/>
                <w:i w:val="false"/>
                <w:color w:val="000000"/>
                <w:sz w:val="20"/>
              </w:rPr>
              <w:t xml:space="preserve">
моющих и </w:t>
            </w:r>
            <w:r>
              <w:br/>
            </w:r>
            <w:r>
              <w:rPr>
                <w:rFonts w:ascii="Times New Roman"/>
                <w:b w:val="false"/>
                <w:i w:val="false"/>
                <w:color w:val="000000"/>
                <w:sz w:val="20"/>
              </w:rPr>
              <w:t xml:space="preserve">
дезинфицирующих </w:t>
            </w:r>
            <w:r>
              <w:br/>
            </w:r>
            <w:r>
              <w:rPr>
                <w:rFonts w:ascii="Times New Roman"/>
                <w:b w:val="false"/>
                <w:i w:val="false"/>
                <w:color w:val="000000"/>
                <w:sz w:val="20"/>
              </w:rPr>
              <w:t xml:space="preserve">
сухих средств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Держатель для </w:t>
            </w:r>
            <w:r>
              <w:br/>
            </w:r>
            <w:r>
              <w:rPr>
                <w:rFonts w:ascii="Times New Roman"/>
                <w:b w:val="false"/>
                <w:i w:val="false"/>
                <w:color w:val="000000"/>
                <w:sz w:val="20"/>
              </w:rPr>
              <w:t xml:space="preserve">
туалетной бумаги </w:t>
            </w:r>
            <w:r>
              <w:br/>
            </w:r>
            <w:r>
              <w:rPr>
                <w:rFonts w:ascii="Times New Roman"/>
                <w:b w:val="false"/>
                <w:i w:val="false"/>
                <w:color w:val="000000"/>
                <w:sz w:val="20"/>
              </w:rPr>
              <w:t xml:space="preserve">
закрытый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Рамки для </w:t>
            </w:r>
            <w:r>
              <w:br/>
            </w:r>
            <w:r>
              <w:rPr>
                <w:rFonts w:ascii="Times New Roman"/>
                <w:b w:val="false"/>
                <w:i w:val="false"/>
                <w:color w:val="000000"/>
                <w:sz w:val="20"/>
              </w:rPr>
              <w:t xml:space="preserve">
наглядной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формата А4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 </w:t>
            </w:r>
            <w:r>
              <w:br/>
            </w:r>
            <w:r>
              <w:rPr>
                <w:rFonts w:ascii="Times New Roman"/>
                <w:b w:val="false"/>
                <w:i w:val="false"/>
                <w:color w:val="000000"/>
                <w:sz w:val="20"/>
              </w:rPr>
              <w:t xml:space="preserve">
внутрипоездная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(в штабном вагоне)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состав (в штабном вагоне)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Обеззараживающее </w:t>
            </w:r>
            <w:r>
              <w:br/>
            </w:r>
            <w:r>
              <w:rPr>
                <w:rFonts w:ascii="Times New Roman"/>
                <w:b w:val="false"/>
                <w:i w:val="false"/>
                <w:color w:val="000000"/>
                <w:sz w:val="20"/>
              </w:rPr>
              <w:t xml:space="preserve">
устройство для </w:t>
            </w:r>
            <w:r>
              <w:br/>
            </w:r>
            <w:r>
              <w:rPr>
                <w:rFonts w:ascii="Times New Roman"/>
                <w:b w:val="false"/>
                <w:i w:val="false"/>
                <w:color w:val="000000"/>
                <w:sz w:val="20"/>
              </w:rPr>
              <w:t xml:space="preserve">
питьевой воды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Пробка для </w:t>
            </w:r>
            <w:r>
              <w:br/>
            </w:r>
            <w:r>
              <w:rPr>
                <w:rFonts w:ascii="Times New Roman"/>
                <w:b w:val="false"/>
                <w:i w:val="false"/>
                <w:color w:val="000000"/>
                <w:sz w:val="20"/>
              </w:rPr>
              <w:t xml:space="preserve">
посудомоечной </w:t>
            </w:r>
            <w:r>
              <w:br/>
            </w:r>
            <w:r>
              <w:rPr>
                <w:rFonts w:ascii="Times New Roman"/>
                <w:b w:val="false"/>
                <w:i w:val="false"/>
                <w:color w:val="000000"/>
                <w:sz w:val="20"/>
              </w:rPr>
              <w:t xml:space="preserve">
ванны веник для </w:t>
            </w:r>
            <w:r>
              <w:br/>
            </w:r>
            <w:r>
              <w:rPr>
                <w:rFonts w:ascii="Times New Roman"/>
                <w:b w:val="false"/>
                <w:i w:val="false"/>
                <w:color w:val="000000"/>
                <w:sz w:val="20"/>
              </w:rPr>
              <w:t xml:space="preserve">
уборки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вагон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*Веник для уборки </w:t>
            </w:r>
            <w:r>
              <w:br/>
            </w:r>
            <w:r>
              <w:rPr>
                <w:rFonts w:ascii="Times New Roman"/>
                <w:b w:val="false"/>
                <w:i w:val="false"/>
                <w:color w:val="000000"/>
                <w:sz w:val="20"/>
              </w:rPr>
              <w:t xml:space="preserve">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месяц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месяц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 месяц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*Тряпка для мытья </w:t>
            </w:r>
            <w:r>
              <w:br/>
            </w:r>
            <w:r>
              <w:rPr>
                <w:rFonts w:ascii="Times New Roman"/>
                <w:b w:val="false"/>
                <w:i w:val="false"/>
                <w:color w:val="000000"/>
                <w:sz w:val="20"/>
              </w:rPr>
              <w:t xml:space="preserve">
полов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месяц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месяц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 месяц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*Ветошь для </w:t>
            </w:r>
            <w:r>
              <w:br/>
            </w:r>
            <w:r>
              <w:rPr>
                <w:rFonts w:ascii="Times New Roman"/>
                <w:b w:val="false"/>
                <w:i w:val="false"/>
                <w:color w:val="000000"/>
                <w:sz w:val="20"/>
              </w:rPr>
              <w:t xml:space="preserve">
уборки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туалетное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туалетная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*Моющее средство </w:t>
            </w:r>
            <w:r>
              <w:br/>
            </w:r>
            <w:r>
              <w:rPr>
                <w:rFonts w:ascii="Times New Roman"/>
                <w:b w:val="false"/>
                <w:i w:val="false"/>
                <w:color w:val="000000"/>
                <w:sz w:val="20"/>
              </w:rPr>
              <w:t xml:space="preserve">
для посуды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*Моющее средство </w:t>
            </w:r>
            <w:r>
              <w:br/>
            </w:r>
            <w:r>
              <w:rPr>
                <w:rFonts w:ascii="Times New Roman"/>
                <w:b w:val="false"/>
                <w:i w:val="false"/>
                <w:color w:val="000000"/>
                <w:sz w:val="20"/>
              </w:rPr>
              <w:t xml:space="preserve">
для уборки вагона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*Дезинфицирующее </w:t>
            </w:r>
            <w:r>
              <w:br/>
            </w:r>
            <w:r>
              <w:rPr>
                <w:rFonts w:ascii="Times New Roman"/>
                <w:b w:val="false"/>
                <w:i w:val="false"/>
                <w:color w:val="000000"/>
                <w:sz w:val="20"/>
              </w:rPr>
              <w:t xml:space="preserve">
средство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*Петарды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 один хвостовой вагон)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