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7a68" w14:textId="12c7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2008 года № 619. Зарегистрирован в Министерстве юстиции Республики Казахстан 29 декабря 2008 года № 5438. Утратил силу приказом Министра финансов Республики Казахстан от 28 июня 2011 года №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28.06.2011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возникающие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 56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хозяйств,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619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Налоговая учетная политика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налогоплательщиков, применяющих специальный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налоговый режим для субъектов малого бизнеса, специальный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налоговый режим для крестьянских или фермерских хозяйств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(Ф.И.О./наименование налогоплательщика)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Регистрационный номер налогоплательщика (РНН)_________________________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2. Индивидуальный или бизнес идентификационный номер (ИИН/БИН) при его наличии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3. Виды осуществляемой деятельности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4. Метод отнесения зачета по налогу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(НДС)________________________________________________________________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 (раздельный, пропорциональный)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