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6b9f" w14:textId="3756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19 декабря 2008 года № 8/2. Зарегистрировано управлением юстиции Сандыктауского района Акмолинской области 30 декабря 2008 года N 1-16-85. Утратило силу - решением Сандыктауского маслихата Акмолинской области от 22 февраля 2010 года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Сандыктауского маслихата Акмолинской области от 22.02.2010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1132977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204 479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10 060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от продажи основного капитала –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917977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1132916,9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16300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16239,9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16239,9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Сандыктауского районного маслихата Акмолинской области от 08.04.2009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/>
          <w:color w:val="800000"/>
          <w:sz w:val="28"/>
        </w:rPr>
        <w:t xml:space="preserve">; 29.04.2009 </w:t>
      </w:r>
      <w:r>
        <w:rPr>
          <w:rFonts w:ascii="Times New Roman"/>
          <w:b w:val="false"/>
          <w:i w:val="false"/>
          <w:color w:val="000000"/>
          <w:sz w:val="28"/>
        </w:rPr>
        <w:t>№ 11/14;</w:t>
      </w:r>
      <w:r>
        <w:rPr>
          <w:rFonts w:ascii="Times New Roman"/>
          <w:b w:val="false"/>
          <w:i/>
          <w:color w:val="800000"/>
          <w:sz w:val="28"/>
        </w:rPr>
        <w:t xml:space="preserve"> 22.07.2009 </w:t>
      </w:r>
      <w:r>
        <w:rPr>
          <w:rFonts w:ascii="Times New Roman"/>
          <w:b w:val="false"/>
          <w:i w:val="false"/>
          <w:color w:val="000000"/>
          <w:sz w:val="28"/>
        </w:rPr>
        <w:t>№ 13/2;</w:t>
      </w:r>
      <w:r>
        <w:rPr>
          <w:rFonts w:ascii="Times New Roman"/>
          <w:b w:val="false"/>
          <w:i/>
          <w:color w:val="800000"/>
          <w:sz w:val="28"/>
        </w:rPr>
        <w:t xml:space="preserve"> 22.10.2009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/>
          <w:color w:val="800000"/>
          <w:sz w:val="28"/>
        </w:rPr>
        <w:t xml:space="preserve">; 02.12.2009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штрафов, пени, санкций, взысканий,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финансового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областного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2009 год объем субвенций, передаваемой из областного бюджета в бюджет района, составит 686781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трансфертов, выделенных из областного бюджета на 2009 год в сумме 204 627,2 тысяч тенге, предусмотрены следующие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125131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9347,9 тысяч тенге – на реализацию Государственной программы развития образования Республики Казахстан на 2005 – 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оснащение учебным оборудованием кабинетов физики, химии, биологии в государственных учреждениях основного среднего и общего среднего образования 3973,1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создание лингафонных и мультимедийных кабинетов в государственных учреждениях начального, основного среднего и общего среднего образования 5374,8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3279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выплату государственной адресной социальной помощи 1162 тысяч тенге на выплату государственных пособий на детей до 18 лет из малообеспеченных семей 2117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3150 тысяч тенге -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9270 тысяч тенге -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58497тысяч тенге - на проведение капитального ремонта водопроводных сетей села Приозерное;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11314,2 тысяч тенге - на проведение текущего ремонта автодорог местной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25626,3 тысяч тенге - на капитальный ремонт средней школы аула Мадениет;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59 тысяч тенге - на оказание социальной помощи студентам из малообеспеченных семей на оплату за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3447,6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1140 тысяч тенге – на оказание социальной помощи участникам и инвалидам Великой отечественной войны на расходы за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106065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38111</w:t>
      </w:r>
      <w:r>
        <w:rPr>
          <w:rFonts w:ascii="Times New Roman"/>
          <w:b w:val="false"/>
          <w:i w:val="false"/>
          <w:color w:val="000000"/>
          <w:sz w:val="28"/>
        </w:rPr>
        <w:t>,9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15078,4 тысяч тенге - на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26833 тысяч тенге – на проведение реконструкции сетей водопровода в селе Максимовка;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14130 тысяч тенге – на разработку проектно – сметной документации и проведение государственной экспертизы по проекту строительства водопроводных сетей в селе Каменка;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16300 тысяч тенге – на увеличение уставного капитала государственного коммунального предприятия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 с изменениями, внесенными решениями Сандыктауского районного маслихата Акмолинской области от 08.04.2009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/>
          <w:color w:val="800000"/>
          <w:sz w:val="28"/>
        </w:rPr>
        <w:t xml:space="preserve">; 29.04.2009 </w:t>
      </w:r>
      <w:r>
        <w:rPr>
          <w:rFonts w:ascii="Times New Roman"/>
          <w:b w:val="false"/>
          <w:i w:val="false"/>
          <w:color w:val="000000"/>
          <w:sz w:val="28"/>
        </w:rPr>
        <w:t>№ 11/1;</w:t>
      </w:r>
      <w:r>
        <w:rPr>
          <w:rFonts w:ascii="Times New Roman"/>
          <w:b w:val="false"/>
          <w:i/>
          <w:color w:val="800000"/>
          <w:sz w:val="28"/>
        </w:rPr>
        <w:t xml:space="preserve"> 22.07.2009 </w:t>
      </w:r>
      <w:r>
        <w:rPr>
          <w:rFonts w:ascii="Times New Roman"/>
          <w:b w:val="false"/>
          <w:i w:val="false"/>
          <w:color w:val="000000"/>
          <w:sz w:val="28"/>
        </w:rPr>
        <w:t>№ 13/2;</w:t>
      </w:r>
      <w:r>
        <w:rPr>
          <w:rFonts w:ascii="Times New Roman"/>
          <w:b w:val="false"/>
          <w:i/>
          <w:color w:val="800000"/>
          <w:sz w:val="28"/>
        </w:rPr>
        <w:t xml:space="preserve"> 22.10.2009 </w:t>
      </w:r>
      <w:r>
        <w:rPr>
          <w:rFonts w:ascii="Times New Roman"/>
          <w:b w:val="false"/>
          <w:i w:val="false"/>
          <w:color w:val="000000"/>
          <w:sz w:val="28"/>
        </w:rPr>
        <w:t>№ 14/1;</w:t>
      </w:r>
      <w:r>
        <w:rPr>
          <w:rFonts w:ascii="Times New Roman"/>
          <w:b w:val="false"/>
          <w:i/>
          <w:color w:val="800000"/>
          <w:sz w:val="28"/>
        </w:rPr>
        <w:t xml:space="preserve"> 02.12.2009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2009 год в сумме 155,2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с изменениями, внесенными решением Сандыктауского районного маслихата Акмолинской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№ 11/1;</w:t>
      </w:r>
      <w:r>
        <w:rPr>
          <w:rFonts w:ascii="Times New Roman"/>
          <w:b w:val="false"/>
          <w:i/>
          <w:color w:val="800000"/>
          <w:sz w:val="28"/>
        </w:rPr>
        <w:t xml:space="preserve"> 22.07.2009 </w:t>
      </w:r>
      <w:r>
        <w:rPr>
          <w:rFonts w:ascii="Times New Roman"/>
          <w:b w:val="false"/>
          <w:i w:val="false"/>
          <w:color w:val="000000"/>
          <w:sz w:val="28"/>
        </w:rPr>
        <w:t>№ 13/2;</w:t>
      </w:r>
      <w:r>
        <w:rPr>
          <w:rFonts w:ascii="Times New Roman"/>
          <w:b w:val="false"/>
          <w:i/>
          <w:color w:val="800000"/>
          <w:sz w:val="28"/>
        </w:rPr>
        <w:t xml:space="preserve"> 22.10.2009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социального обеспечения, образования и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района на 2009 год в установленном законодательством порядке использованы свободные бюджетные остатки,  образовавшиеся на 1 января 2009 года в сумме 16239,9 тысяч тенге, в 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3041,2 тысяч тенге - возврат неиспользованных целевых трансфертов, из них: в республиканский бюджет 1716,6 тысяч тенге и в областной бюджет 1324,6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4388,3 тысяч тенге - разрешенные к использованию в 2009 году, неиспользованные в течение 2008 года суммы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Дополнен пунктом 6-1, решением Сандыктауского районного маслихата Акмолинской области от 08.04.2009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бюджета района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аульных (сельских) округов на 2009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Управлении юстиции Сандыктауского района Акмолиской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А.Вахаев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маслихита      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19.12.2008г               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19.12.2008г                            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Сандыктауского  районного маслихата Акмолинской области от 02.12.2009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18"/>
        <w:gridCol w:w="938"/>
        <w:gridCol w:w="959"/>
        <w:gridCol w:w="7580"/>
        <w:gridCol w:w="230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1132977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204479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11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 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14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17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917977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917977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18"/>
        <w:gridCol w:w="777"/>
        <w:gridCol w:w="959"/>
        <w:gridCol w:w="7761"/>
        <w:gridCol w:w="23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1132916,9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134767,2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114232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10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7985,4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 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631069,2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586115,5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586115,5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574493,5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44953,7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44176,7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3265,9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 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6543,5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25626,3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47864,4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38430,1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38430,1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  граждан по решениям местных 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304,5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2383,2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  на детей до 18 лет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2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индивидульными помощниками в соответствии с индивидуальной программой реабилитации инвалида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1932,4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9434,3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9434,3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9313,3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142935,3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54454,3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54454,3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39375,9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15078,4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82981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9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63777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95958,7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 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21328,7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внутренней политики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10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43567,1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11355,6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11355,6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9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3447,6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15546,2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7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8066,6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4685,6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155,2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155,2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 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4530,4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4530,4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редакции решения Сандыктауского  районного маслихата Акмолинской области от 22.07.2009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разделением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83"/>
        <w:gridCol w:w="815"/>
        <w:gridCol w:w="891"/>
        <w:gridCol w:w="97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районных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152"/>
        <w:gridCol w:w="1373"/>
        <w:gridCol w:w="1433"/>
        <w:gridCol w:w="8130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гр.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4 в редакции решения Сандыктауского  районного маслихата Акмолинской области от 22.10.2009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аульных (сельских)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897"/>
        <w:gridCol w:w="1185"/>
        <w:gridCol w:w="7250"/>
        <w:gridCol w:w="22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99866,7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8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9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11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15295,7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3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0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14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517"/>
        <w:gridCol w:w="1659"/>
        <w:gridCol w:w="1599"/>
        <w:gridCol w:w="1619"/>
        <w:gridCol w:w="1538"/>
        <w:gridCol w:w="1782"/>
        <w:gridCol w:w="1966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7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8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1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3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798"/>
        <w:gridCol w:w="1818"/>
        <w:gridCol w:w="2448"/>
        <w:gridCol w:w="2285"/>
        <w:gridCol w:w="1596"/>
        <w:gridCol w:w="1820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5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1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52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15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9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1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