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07ecc3" w14:textId="807ecc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размера фиксированного суммарного налога с единицы объектов налогообложения на территории города Жезказгана на 2009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Жезказганского городского маслихата Карагандинской области от 23 декабря 2008 года N 11/126. Зарегистрировано Управлением юстиции города Жезказган Карагандинской области 8 января 2009 года N 8-2-71. Утратило силу - решением Жезказганского городского маслихата Карагандинской области от 31 июля 2009 года N 16/187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 xml:space="preserve">      Сноска. Утратило силу -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/>
          <w:color w:val="800000"/>
          <w:sz w:val="28"/>
        </w:rPr>
        <w:t xml:space="preserve"> Жезказганского городского маслихата Карагандинской области от 31.07.2009 N 16/187.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12 июня 2001 года "О налогах и других обязательных платежах в бюджет (Налоговый кодекс)"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размер фиксированного суммарного налога с единицы объектов налогообложения на территории города Жезказгана на 2009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 решение городского Маслихата от 18 января 2008 года N 4/52 "Об установлении размера фиксированного суммарного налога с единицы объектов налогообложения на территории города Жезказгана на 2008 год" (зарегистрированное управлением юстиции города Жезказгана N 8-2-60 от 27 февраля 2008 года и опубликованное в газете "Жезказганская правда" N 3 (3) от 15 февраля 2008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дней после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данного решения возложить на постоянные комиссии городского Маслихата.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Н. Ярмак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Маслихата                       К. Абдиров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налогового управления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 городу Жезказган                        Ахметов Б.Д.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Жезказганского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декабря 2008 года N 11/126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Размер фиксированного суммарного налога с единицы объектов налогообложения на территории города Жезказгана на 2009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1"/>
        <w:gridCol w:w="3304"/>
        <w:gridCol w:w="3547"/>
        <w:gridCol w:w="3143"/>
        <w:gridCol w:w="3165"/>
      </w:tblGrid>
      <w:tr>
        <w:trPr>
          <w:trHeight w:val="120" w:hRule="atLeast"/>
        </w:trPr>
        <w:tc>
          <w:tcPr>
            <w:tcW w:w="8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3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объекта налогообложения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Ставка фиксированного суммарного налога на 1 объект в 2009 году (в месячном расчетном показателе)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фиксированного суммарного налога на 2009 год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фиксированного суммарного налога на 1 месяц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Фиксированный суммарный налог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Фиксированный суммарный налог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Фиксированный суммарный налог</w:t>
            </w:r>
          </w:p>
        </w:tc>
      </w:tr>
      <w:tr>
        <w:trPr>
          <w:trHeight w:val="66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Игровой автомат без выигрыша, предназначенный для проведения игры с одним игроком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15276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</w:t>
            </w:r>
          </w:p>
        </w:tc>
      </w:tr>
      <w:tr>
        <w:trPr>
          <w:trHeight w:val="12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Игровой автомат без выигрыша, предназначенный для проведения игры, с участием более одного игрока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15276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</w:t>
            </w:r>
          </w:p>
        </w:tc>
      </w:tr>
      <w:tr>
        <w:trPr>
          <w:trHeight w:val="12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Персональный компьютер, используемый для проведения игры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30552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2546</w:t>
            </w:r>
          </w:p>
        </w:tc>
      </w:tr>
      <w:tr>
        <w:trPr>
          <w:trHeight w:val="285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Игровая дорожка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259692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21641</w:t>
            </w:r>
          </w:p>
        </w:tc>
      </w:tr>
      <w:tr>
        <w:trPr>
          <w:trHeight w:val="12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61104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5092</w:t>
            </w:r>
          </w:p>
        </w:tc>
      </w:tr>
      <w:tr>
        <w:trPr>
          <w:trHeight w:val="315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Бильярдный стол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259692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