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f758" w14:textId="b3ff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отдельным категориям нуждающихся граждан по решению Аккайынского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15. Зарегистрировано Управлением юстиции Аккайынского района Северо-Казахстанской области 29 февраля 2008 N 13-2-63.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пункт 30 статья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отдельным категориям нуждающихся граждан по решению Аккайынского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15</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«Назначение и выплата социальной помощи отдельным категориям</w:t>
      </w:r>
      <w:r>
        <w:br/>
      </w:r>
      <w:r>
        <w:rPr>
          <w:rFonts w:ascii="Times New Roman"/>
          <w:b w:val="false"/>
          <w:i w:val="false"/>
          <w:color w:val="000000"/>
          <w:sz w:val="28"/>
        </w:rPr>
        <w:t>
</w:t>
      </w:r>
      <w:r>
        <w:rPr>
          <w:rFonts w:ascii="Times New Roman"/>
          <w:b/>
          <w:i w:val="false"/>
          <w:color w:val="000080"/>
          <w:sz w:val="28"/>
        </w:rPr>
        <w:t>нуждающихся граждан по решению Аккайынского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Определение государственной услуги - Назначение и выплата социальной помощи отдельным категориям нуждающихся граждан по решению Аккайынского районного маслихата (социальная помощь участникам и инвалидам Великой Отечественной войны для посещения бань и парикмахерских). </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xml:space="preserve">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пункт 30 статья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выплата социальной помощи.</w:t>
      </w:r>
      <w:r>
        <w:br/>
      </w:r>
      <w:r>
        <w:rPr>
          <w:rFonts w:ascii="Times New Roman"/>
          <w:b w:val="false"/>
          <w:i w:val="false"/>
          <w:color w:val="000000"/>
          <w:sz w:val="28"/>
        </w:rPr>
        <w:t>
      6. Категория физических и юридических лиц, которым оказывается государственная услуга – государственная услуга оказывается участникам и инвалидам Великой Отечественной войны.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подобное)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выданный государственным учреждением «Аккайынский районный отдел занятости и социальных программ»;</w:t>
      </w:r>
      <w:r>
        <w:br/>
      </w:r>
      <w:r>
        <w:rPr>
          <w:rFonts w:ascii="Times New Roman"/>
          <w:b w:val="false"/>
          <w:i w:val="false"/>
          <w:color w:val="000000"/>
          <w:sz w:val="28"/>
        </w:rPr>
        <w:t>
      2) удостоверение личности заявителя, выданное территориальным органом  юстиции Республики Казахстан;</w:t>
      </w:r>
      <w:r>
        <w:br/>
      </w:r>
      <w:r>
        <w:rPr>
          <w:rFonts w:ascii="Times New Roman"/>
          <w:b w:val="false"/>
          <w:i w:val="false"/>
          <w:color w:val="000000"/>
          <w:sz w:val="28"/>
        </w:rPr>
        <w:t>
      3) удостоверение участника или инвалида Великой Отечественной войны, выданное Отделом по делам обороны.</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тому подобное - Аккайынский районный узел почтовой связи,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 главный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услуги;</w:t>
      </w:r>
      <w:r>
        <w:br/>
      </w:r>
      <w:r>
        <w:rPr>
          <w:rFonts w:ascii="Times New Roman"/>
          <w:b w:val="false"/>
          <w:i w:val="false"/>
          <w:color w:val="000000"/>
          <w:sz w:val="28"/>
        </w:rPr>
        <w:t>
      - обеспечение сохранности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w:t>
      </w:r>
      <w:r>
        <w:br/>
      </w:r>
      <w:r>
        <w:rPr>
          <w:rFonts w:ascii="Times New Roman"/>
          <w:b w:val="false"/>
          <w:i w:val="false"/>
          <w:color w:val="000000"/>
          <w:sz w:val="28"/>
        </w:rPr>
        <w:t>
      2)государственное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Адрес электронной почты: &lt;Akksoz@maiI onIine. Kz&gt;, кабинет № 5, телефон 21265, ежедневно с 9-00 до 18-30 часов, перерыв на обед с 12-30 до 14-00 часов, выходной суббота и воскресенье, прием граждан начальником отдела – понедельник, среда, пятница с 9-00 до 12-30 часов;</w:t>
      </w:r>
      <w:r>
        <w:br/>
      </w:r>
      <w:r>
        <w:rPr>
          <w:rFonts w:ascii="Times New Roman"/>
          <w:b w:val="false"/>
          <w:i w:val="false"/>
          <w:color w:val="000000"/>
          <w:sz w:val="28"/>
        </w:rPr>
        <w:t>
      2) заместитель начальника отдела государственного учреждения «Аккайынский районный отдел занятости и социальных программ», прием граждан –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отдельным категориям нуждающихся граждан</w:t>
      </w:r>
      <w:r>
        <w:br/>
      </w:r>
      <w:r>
        <w:rPr>
          <w:rFonts w:ascii="Times New Roman"/>
          <w:b w:val="false"/>
          <w:i w:val="false"/>
          <w:color w:val="000000"/>
          <w:sz w:val="28"/>
        </w:rPr>
        <w:t>
по решению Аккайынского районного маслихата»</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2434"/>
        <w:gridCol w:w="2959"/>
        <w:gridCol w:w="2355"/>
      </w:tblGrid>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последующем</w:t>
            </w:r>
            <w:r>
              <w:br/>
            </w:r>
            <w:r>
              <w:rPr>
                <w:rFonts w:ascii="Times New Roman"/>
                <w:b w:val="false"/>
                <w:i w:val="false"/>
                <w:color w:val="000000"/>
                <w:sz w:val="20"/>
              </w:rPr>
              <w:t>
году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