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162e" w14:textId="f991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25 декабря 2008 года N 13/2. Зарегистрировано Управлением юстиции Жамбылского района Северо-Казахстанской области 29 января 2009 года N 13-7-101.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маслихата Жамбылского района Северо-Казахстанской области от 03.04.2013 N 03-31/43)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 № 148-II,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18 декабря 2008 года № 13/2,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   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- 1637884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167179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2100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- 1326705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- 1661216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Жамбылского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31.07.2009 </w:t>
      </w:r>
      <w:r>
        <w:rPr>
          <w:rFonts w:ascii="Times New Roman"/>
          <w:b w:val="false"/>
          <w:i w:val="false"/>
          <w:color w:val="000000"/>
          <w:sz w:val="28"/>
        </w:rPr>
        <w:t>N 18/2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26.10.2009 </w:t>
      </w:r>
      <w:r>
        <w:rPr>
          <w:rFonts w:ascii="Times New Roman"/>
          <w:b w:val="false"/>
          <w:i w:val="false"/>
          <w:color w:val="00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000000"/>
          <w:sz w:val="28"/>
        </w:rPr>
        <w:t>N 20/1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2009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в размере 100% зачисляемых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индивидуальных предпринимателей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поступлений,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Выделить за счет свободных остатков средств районного бюджета сложивщихся на начало года, на расходы районного бюджета 23332 тысяч тенге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дополнен пунктом 4.1 решением маслихата Жамбылского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Учесть в районном бюджете на 2009 год целевые трансферты и оптимизацию расходов 125097 тысяч тенге на обеспечение занятости в рамках реализации стратегии региональной занятости и переподготовки кадров (дорожная карта),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дополнен пунктом 4.2 решением маслихата Жамбылского района от 27.04.2009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2009 год с разделением на бюджетные инвестиционные проекты и программы,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2009 год в сумме 2675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в расходах бюджета района на 2009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повышение на 25 процентов должностных окладов (тарифных ставок) специалистам сферы здравоохранения, социального обеспечения, образования, культуры и спорта, работающих в сельской местности и не являющихся государственными служащими, по сравнению 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Обеспечить в 2009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процессе исполнения местного бюджета на 2009 год не подлежат секвестру местные бюджетные программы,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бюджетную программу социальной помощи отдельным категориям нуждающихся граждан по решению местных представительных органов на 2009 год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бюджетную программу «Обеспечение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инвалида»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на 2009 год в бюджете района бюджетные программы сельских округов,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бюджетную программу «Школы, гимназии, лицеи, профильные школы начального, основного среднего и общего среднего образования, школы-детские сады»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2009 год целевые трансферты 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инвестиционные программы развития всего 39393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строительство инженерно-коммуникационных сетей и благоустройство жилых домов – 26836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строительство локального водоснабжения – 12557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оснащение школ учебными пособиями по изучению ПДД и информатизацию системы образования – 3256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пособия по изучению ПДД – 391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информатизацию системы образования – 4241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земельно-хозяйственное устройство населенных пунктов 2865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зубопротезирование участникам и инвалидам Великой Отечественной войны 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на 2009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инвестиционных проектов всего 51084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– 51084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  содержание вновь вводимых объектов образования – 8790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14148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8182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– 5966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 программы развития образования Республики Казахстан на 2005-2010 годы – 33822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– 16387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11082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системы интерактивного обучения в государственной системе начального, основного среднего и общего среднего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– 6353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  реализацию мер социальной поддержки специалистов социальной сферы сельских населенных пунктов – 6951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 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rPr>
          <w:rFonts w:ascii="Times New Roman"/>
          <w:b w:val="false"/>
          <w:i/>
          <w:color w:val="000000"/>
          <w:sz w:val="28"/>
        </w:rPr>
        <w:t>        Г. Кусаинов                                Б. Мусабаев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Жамбылского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ff0000"/>
          <w:sz w:val="28"/>
        </w:rPr>
        <w:t>N 20/1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53"/>
        <w:gridCol w:w="833"/>
        <w:gridCol w:w="7893"/>
        <w:gridCol w:w="1713"/>
      </w:tblGrid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1637884.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107 078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59 476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13 383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</w:p>
        </w:tc>
      </w:tr>
      <w:tr>
        <w:trPr>
          <w:trHeight w:val="12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8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услуг,предоставляемых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1447853.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1447853.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53"/>
        <w:gridCol w:w="973"/>
        <w:gridCol w:w="7413"/>
        <w:gridCol w:w="1713"/>
      </w:tblGrid>
      <w:tr>
        <w:trPr>
          <w:trHeight w:val="12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1661216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1147139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1112390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1058531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проживающим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124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8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78236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8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</w:t>
            </w:r>
          </w:p>
        </w:tc>
      </w:tr>
      <w:tr>
        <w:trPr>
          <w:trHeight w:val="9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-23332</w:t>
            </w:r>
          </w:p>
        </w:tc>
      </w:tr>
      <w:tr>
        <w:trPr>
          <w:trHeight w:val="4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 с разделением на бюджетные</w:t>
      </w:r>
      <w:r>
        <w:br/>
      </w:r>
      <w:r>
        <w:rPr>
          <w:rFonts w:ascii="Times New Roman"/>
          <w:b/>
          <w:i w:val="false"/>
          <w:color w:val="000000"/>
        </w:rPr>
        <w:t>
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(программ) и формирование</w:t>
      </w:r>
      <w:r>
        <w:br/>
      </w:r>
      <w:r>
        <w:rPr>
          <w:rFonts w:ascii="Times New Roman"/>
          <w:b/>
          <w:i w:val="false"/>
          <w:color w:val="000000"/>
        </w:rPr>
        <w:t>
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Жамбылского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913"/>
        <w:gridCol w:w="973"/>
        <w:gridCol w:w="6373"/>
        <w:gridCol w:w="1933"/>
      </w:tblGrid>
      <w:tr>
        <w:trPr>
          <w:trHeight w:val="11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123 820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26 836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26 836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9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3"/>
      </w:tblGrid>
      <w:tr>
        <w:trPr>
          <w:trHeight w:val="27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маслихата Жамбылского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3"/>
        <w:gridCol w:w="1793"/>
      </w:tblGrid>
      <w:tr>
        <w:trPr>
          <w:trHeight w:val="615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1185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(на услуги бань и парикмахерских)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870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675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(зубопротезирование)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720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 больным активным туберкулезом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20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Великой Отечественной войны (коммунальные)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</w:p>
        </w:tc>
      </w:tr>
      <w:tr>
        <w:trPr>
          <w:trHeight w:val="315" w:hRule="atLeast"/>
        </w:trPr>
        <w:tc>
          <w:tcPr>
            <w:tcW w:w="10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</w:t>
      </w:r>
      <w:r>
        <w:br/>
      </w:r>
      <w:r>
        <w:rPr>
          <w:rFonts w:ascii="Times New Roman"/>
          <w:b/>
          <w:i w:val="false"/>
          <w:color w:val="000000"/>
        </w:rPr>
        <w:t>
по программе 451 017 015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Жамбылского района от 31.07.2009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773"/>
        <w:gridCol w:w="3073"/>
        <w:gridCol w:w="3613"/>
      </w:tblGrid>
      <w:tr>
        <w:trPr>
          <w:trHeight w:val="24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 жестового языка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маслихата Жамбылского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933"/>
        <w:gridCol w:w="2393"/>
        <w:gridCol w:w="2293"/>
        <w:gridCol w:w="2293"/>
        <w:gridCol w:w="2533"/>
      </w:tblGrid>
      <w:tr>
        <w:trPr>
          <w:trHeight w:val="19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123.001.003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123.001.007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123.001.009 Материально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1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с/о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2413"/>
        <w:gridCol w:w="3093"/>
        <w:gridCol w:w="2493"/>
        <w:gridCol w:w="2513"/>
      </w:tblGrid>
      <w:tr>
        <w:trPr>
          <w:trHeight w:val="19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123.008.000 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123.010.000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95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553"/>
        <w:gridCol w:w="2773"/>
        <w:gridCol w:w="3393"/>
        <w:gridCol w:w="1793"/>
      </w:tblGrid>
      <w:tr>
        <w:trPr>
          <w:trHeight w:val="19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123.019.027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1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18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102858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13/2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464 003 105 "Школы, гимназии, лицеи, профильные школы начального, основного среднего и общего среднего образования, школы-детские сады"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маслихата Жамбылского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26.11.2009 </w:t>
      </w:r>
      <w:r>
        <w:rPr>
          <w:rFonts w:ascii="Times New Roman"/>
          <w:b w:val="false"/>
          <w:i w:val="false"/>
          <w:color w:val="ff0000"/>
          <w:sz w:val="28"/>
        </w:rPr>
        <w:t>N 20/1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3753"/>
        <w:gridCol w:w="5633"/>
      </w:tblGrid>
      <w:tr>
        <w:trPr>
          <w:trHeight w:val="24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</w:tr>
      <w:tr>
        <w:trPr>
          <w:trHeight w:val="4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1058531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1023013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</w:t>
            </w:r>
          </w:p>
        </w:tc>
      </w:tr>
    </w:tbl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решения маслихата Жамбылского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16/1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1553"/>
        <w:gridCol w:w="1053"/>
        <w:gridCol w:w="4913"/>
        <w:gridCol w:w="2373"/>
      </w:tblGrid>
      <w:tr>
        <w:trPr>
          <w:trHeight w:val="7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Админи-стратор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4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</w:t>
            </w:r>
          </w:p>
        </w:tc>
      </w:tr>
      <w:tr>
        <w:trPr>
          <w:trHeight w:val="24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35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16/1 от 27 апреля 2009 г.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  стратегии региональной занятости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решения маслихата Жамбылского района от 27.04.2009 </w:t>
      </w:r>
      <w:r>
        <w:rPr>
          <w:rFonts w:ascii="Times New Roman"/>
          <w:b w:val="false"/>
          <w:i w:val="false"/>
          <w:color w:val="ff0000"/>
          <w:sz w:val="28"/>
        </w:rPr>
        <w:t>N 16/1</w:t>
      </w:r>
      <w:r>
        <w:rPr>
          <w:rFonts w:ascii="Times New Roman"/>
          <w:b w:val="false"/>
          <w:i w:val="false"/>
          <w:color w:val="ff0000"/>
          <w:sz w:val="28"/>
        </w:rPr>
        <w:t xml:space="preserve">; 31.07.2009 </w:t>
      </w:r>
      <w:r>
        <w:rPr>
          <w:rFonts w:ascii="Times New Roman"/>
          <w:b w:val="false"/>
          <w:i w:val="false"/>
          <w:color w:val="ff0000"/>
          <w:sz w:val="28"/>
        </w:rPr>
        <w:t>N 18/2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26.10.2009 </w:t>
      </w:r>
      <w:r>
        <w:rPr>
          <w:rFonts w:ascii="Times New Roman"/>
          <w:b w:val="false"/>
          <w:i w:val="false"/>
          <w:color w:val="ff0000"/>
          <w:sz w:val="28"/>
        </w:rPr>
        <w:t>N 19/1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953"/>
        <w:gridCol w:w="933"/>
        <w:gridCol w:w="6893"/>
        <w:gridCol w:w="2513"/>
      </w:tblGrid>
      <w:tr>
        <w:trPr>
          <w:trHeight w:val="9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7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126 558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49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7 961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