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3740" w14:textId="e50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декабря 2008 года N 13-2. Зарегистрировано Управлением юстиции района Магжана Жумабаева Северо-Казахстанской области 27 января 2009 года N 13-9-85. Утратило силу в связи с истечением срока действия (письмо маслихата района Магжана Жумабаева Северо-Казахстанской области от 14 июня 2012 года N 01-15/60)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района Магжана Жумабаева Северо-Казахстанской области от 14.06.2012 N 01-15/60)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ЗРК,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района Магжана Жумабаева от 29.07.2009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- 1995584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- 260214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- 45622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1666813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затраты: - 1998384,1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(использование профицита) дефицита бюджета - -2800,1.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района Магжана Жумабаева от 27.04.2009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29.07.2009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на 2009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доходы бюджета района на 2009 год также включены поступления от продажи земли в сумме 45622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2009 год будет предусмотрено объем субвенций, передаваемых из областного бюджета району в сумме 1348537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бюджетные программы сельских округов района Магжана Жумабаева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Магжана Жумабаева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района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Магжана Жумабаева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расходах бюджета района на 2009 год предусмотрены выплаты на оказание социальной поддержки специалистам здравоохранения, образования, социального обеспечения, культуры, проживающим в сельской местности, по приобретению топлива в сумме не менее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 с учетом изменения базового должностного 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2009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проектов( программ) и формирование или увеличение уставного капитала юридических лиц,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целевых текущих трансфертов из республиканского бюджета района Магжана Жумабаева на 2009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Магжана Жумабаева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2009 год выплату государственной адресной социальной помощи, государственных пособий на детей до 18 лет в сумме 52749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Распределение указанных сумм администраторами бюджетных программ определяется постановлением акимата района о реализации решения маслихата «О бюджете района на 2009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бюджетных программ областных трансфертов района Магжана Жумабаева на 2009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Магжана Жумабаева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видов социальной помощи предусмотренной по программе «Социальная помощь отдельным категориям нуждающихся граждан по решениям местных представительных органов»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Омаров                                    В. Гюнтнер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Магжана Жумабаева от 25.11.2009 </w:t>
      </w:r>
      <w:r>
        <w:rPr>
          <w:rFonts w:ascii="Times New Roman"/>
          <w:b w:val="false"/>
          <w:i w:val="false"/>
          <w:color w:val="ff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837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1 995 584,0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производства,с аппеляционных жалоб,с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жалоб на определение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с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судом исполнительных 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иностранных судов и арбитражей,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копий(дубликатов)документов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835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1 998 384,1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городе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безопастности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1 274 004,9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1 135 964,0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82 993,3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 бюджета)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-2 800,1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района Магжана Жумабаева 20.10.2009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693"/>
        <w:gridCol w:w="5233"/>
        <w:gridCol w:w="1653"/>
        <w:gridCol w:w="1433"/>
        <w:gridCol w:w="1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244311,7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в городе, городе районного значения, поселка, аула(села),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553"/>
        <w:gridCol w:w="1533"/>
        <w:gridCol w:w="1793"/>
        <w:gridCol w:w="1673"/>
        <w:gridCol w:w="185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Басто-марс-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Возвы-шенс-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Гаврин-ский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Караган-динский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Конюховс-кий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5770,8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533"/>
        <w:gridCol w:w="1473"/>
        <w:gridCol w:w="1813"/>
        <w:gridCol w:w="1613"/>
        <w:gridCol w:w="1833"/>
      </w:tblGrid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Молодо-гвардейский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5638,3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333"/>
        <w:gridCol w:w="2153"/>
        <w:gridCol w:w="2073"/>
        <w:gridCol w:w="2153"/>
      </w:tblGrid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5636,9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4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4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653"/>
        <w:gridCol w:w="2513"/>
        <w:gridCol w:w="28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г.о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90501,2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42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47770,2</w:t>
            </w:r>
          </w:p>
        </w:tc>
      </w:tr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47770,2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</w:p>
        </w:tc>
      </w:tr>
      <w:tr>
        <w:trPr>
          <w:trHeight w:val="18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21990,2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5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8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М.Жумабаева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района Магжана Жумабаева 20.10.2009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637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с.Возвышенка и 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селе Карагуга и 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лицея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 дел по программе "Нурлы-кош"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 дел под жилье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г. Булаево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развития, села Полудино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Возвышенка 1,8 км. (на изготовление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 воды к детскому саду села Возвышенка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Магжана Жумабаева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Магжана Жумабаева от 25.11.2009 </w:t>
      </w:r>
      <w:r>
        <w:rPr>
          <w:rFonts w:ascii="Times New Roman"/>
          <w:b w:val="false"/>
          <w:i w:val="false"/>
          <w:color w:val="ff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831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села Фурманово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села Полудино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Магжана Жумабаева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района Магжана Жумабаева 20.10.2009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13"/>
        <w:gridCol w:w="671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средней школы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 в селе Возвышенка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города Булаево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 села Полудино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Дома культуры села Сарытомар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Текуший ремонт дорог районного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вида социальной помощи предусмотренной по программе</w:t>
      </w:r>
      <w:r>
        <w:br/>
      </w:r>
      <w:r>
        <w:rPr>
          <w:rFonts w:ascii="Times New Roman"/>
          <w:b/>
          <w:i w:val="false"/>
          <w:color w:val="000000"/>
        </w:rPr>
        <w:t>
«Социальная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Дополнительная адресная социальная помощь участникам и инвалидам Великой отечественной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на санаторно-курортное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за обучение студентов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социальной помощи на зубопротезирование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маслом больных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Поездка в авиатур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в размере расчетного показателя малообеспеченным гражданам с месячным среднедушевым доходом ниже черты бедности, установленной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Единовременное пособие врачам и выпускникам медицинских высших учебных заведений, среднему медицинскому персоналу, прибывающему на постоянную работу в сельскую местность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9.Оказание единовременной социальной выплаты гражданам, пострадавшим от пожара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единовременной социальной выплаты гражданам, пострадавшим от паводка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социальной помощи на коммунальные услуги в размере 4х месячных расчетных показателей участникам и инвалидам Великой отечественной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Оказание единовременной социальной помощи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