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ac7a" w14:textId="d70a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 Казахстанского областного маслихата от 27 июня 2001 года N 11/127-II "Об установлении границ зон и поправочных коэффициентов применяемых к базовым ставкам платы за земельные участки в городах областного значения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12 декабря 2008 года N 12/163-IV. Зарегистрировано департаментом юстиции Южно-Казахстанской области 14 января 2009 года N 2002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2003 года Южно-Казахстанский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27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11/127-II </w:t>
      </w:r>
      <w:r>
        <w:rPr>
          <w:rFonts w:ascii="Times New Roman"/>
          <w:b w:val="false"/>
          <w:i w:val="false"/>
          <w:color w:val="000000"/>
          <w:sz w:val="28"/>
        </w:rPr>
        <w:t>
 "Об установлении границ зон и поправочных коэффициентов применяемых к базовым ставкам платы за земельные участки в городах областного значения Южно-Казахстанской области" (зарегистрировано в Реестре государственной регистрации нормативных правовых актов за N 326, опубликовано 6 августа 2001 года в газете "Южный Казахстан", внесены изменения решением Южно-Казахстанского областного маслихата от 27 марта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5/79-IV </w:t>
      </w:r>
      <w:r>
        <w:rPr>
          <w:rFonts w:ascii="Times New Roman"/>
          <w:b w:val="false"/>
          <w:i w:val="false"/>
          <w:color w:val="000000"/>
          <w:sz w:val="28"/>
        </w:rPr>
        <w:t>
 "Об установлении границ зон и поправочных коэффициентов применяемых к базовым ставкам платы за землю городов областного значения Южно-Казахстанской области" зарегистрировано в Реестре государственной регистрации нормативных правовых актов за N 1976, опубликовано 18 апреля 2008 года в газете "Южный Казахстан" N 45)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решению: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"По городу Арысь" изложить в новой редакции согласно приложению 1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решению: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"для города Арысь" изложить в новой редакции согласно приложению 2 к настоящему решению;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раздела "для города Туркестана" слово "Туркестана" заменить словом "Туркестан".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 областного маслихата   Н.Қурманбеков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А.Досболов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12/163-IV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Арысь: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1 земельные участки, расположенные возле Центрального базара, на улицах Салыкбаева, Казыбек би, Майлы Кожа;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2 земельные участки, расположенные на улицах Толе би, Салыкбаева, Казыбек би, Адилбек би, Тажибаева и до оврага Кабылсая;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3 земельные участки, расположенные на улицах Ахимбекова, Аль-Фараби и возле средней школы имени С.Кожанова, дорога от переезда к городу;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4 земельные участки, расположенные в микрорайонах Стадион; ШПЗ, Почтовый, Ледзавод, Мехколонна и возле детского дома;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5 земельные участки, расположенные от железной дороги в направлении "Арысь-Шымкент", по улице Аль-Фараби до оврага Кабылсай, улицы Тажибаева, Толе би и железная дорога в направлении "Арысь-Ташкент";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6 земельные участки, расположенные в микрорайоне Самал; ПМС, автомобильная трасса "Арысь-Шымкент", дачные участки, вдоль реки Арысь и до границы Буржарского сельского округа Ордабасинского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N 7 земельные участки, расположенные вблизи города и граничащие с микрорайоном Коктем, военной частью, землями ТОО "Экспертная аграрная компания", микрорайоном Коктем-2, вдоль железной дороги "Арысь-Шымкент", военной частью, микрорайоном Наурыз, землями Задаринского сельского округа, до железнодорожного моста, объездной трассой "Шымкент-Шардара", автомобильной трассой "Арысь-Шардара", микрорайоном Отырар, автомобильной трассой "Арысь-Шардара", Задаринским государственным природным заказником (ботанический), землями ТОО "Клиника Ак-ниет", микрорайон Талдыкудык, автомобильной трассой Арысь-Монтайтас, вдоль железной дороги "Ташкент-Арысь", землями ТОО "Умай-Маркет", государственного предприятия "Комбинат-Заря", микрорайонами Южный и Стадион, железной дорогой "Арысь-Ташкент" и землями Буржарского сельского округа Ордабасинского района, городским кладбищем, оврагом Кабылсай, скотным базаром и улицей К.Омарова.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Приложение 2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решению Южно-Казахстанского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12 декабря 2008 года N 12/163-IV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города Арысь: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6347"/>
      </w:tblGrid>
      <w:tr>
        <w:trPr>
          <w:trHeight w:val="1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зон
</w:t>
            </w:r>
          </w:p>
        </w:tc>
      </w:tr>
      <w:tr>
        <w:trPr>
          <w:trHeight w:val="1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1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</w:tr>
      <w:tr>
        <w:trPr>
          <w:trHeight w:val="1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</w:tr>
      <w:tr>
        <w:trPr>
          <w:trHeight w:val="1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</w:tr>
      <w:tr>
        <w:trPr>
          <w:trHeight w:val="1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</w:tr>
      <w:tr>
        <w:trPr>
          <w:trHeight w:val="1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</w:tr>
      <w:tr>
        <w:trPr>
          <w:trHeight w:val="12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