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f223" w14:textId="9daf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24 января 2008 года N 4788, решение Усть-Каменогорского городского маслихата от 8 февраля 2008 года N 5/5. Зарегистрировано Управлением юстиции города Усть-Каменогорска Восточно-Казахстанской области 14 марта 2008 года за N 5-1-80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Казахстан",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административно-территориальном устройстве Республики Казахстан" и на основании заключения Усть-Каменогорской городской ономастической комиссии от 13 декабря 2007 года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безымянным улицам села Подгорное следующие наименования: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1 - Бастау;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2 - Подгорная;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3 - Цветущая долина.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жилищно-коммунального хозяйства, пассажирского транспорта и автомобильных дорог города Усть-Каменогорска" обеспечить выполнение работ по наименованию улиц до 31 мая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решение и постановление вводятся в действие по истечении десяти календарных дней после дня их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Аким города Усть-Каменогорска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