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425" w14:textId="0d1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маслихата города Усть-Каменогорска Восточно-Казахстанской области от 25 декабря 2008 года N 11/4. Зарегистрировано управлением юстиции города Усть-Каменогорска Восточно-Казахстанской области 06 января 2009 года за N 5-1-98.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19 декабря 2008 года № 10/129-IV "Об областном бюджете на 2009 год" (зарегистрировано в Реестре государственной регистрации нормативных правовых актов за номером 2491 от 30 декабря 2008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14 896 369,7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1 252 089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7 526 571,7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14 857 653,7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147 944,7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2 055,3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- 109 228,7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–109 228,7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решения Усть- Каменогорского  городского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предусмотрены бюджетные субвенции, передаваемые из областного бюджета в бюджет города Усть-Каменогорска, в сумме 294 213 тысяч тенге.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2009 год в сумме 16 954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7 954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решением Усть-Каменогорского городского маслихата от 29.10.2009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Зачисление доходов в городской бюджет производить по нормативам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за номером 2514 от 26 октября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15,8 %.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в редакции решения Усть- Каменогорского  городского маслихата от 29.10.2009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расходах городского бюджета затраты на компенсацию почетным гражданам города Усть-Каменогорска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города Усть-Каменогорска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аппарата акима Меновновского сельского округа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города Усть-Каменогорска на 2009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2 032 709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710 244 тысяч тенге –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64 882 тысяч тенге – капитальный и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148 710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460 847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35 805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1 990 054 тысяч тенге –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996 тысяч тенге –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65 700 тысяч тенге - строительство внеплощадочных инженерных сетей и коммуникаций 16-го жилого района города Усть-Каменогорска (внешние сети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440 925 тысяч тенге - реконструкция напорного канализационного коллектора от КНС-17 до дюкерного перехода через реку Иртыш (2-я нитка)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10 в соответствии с решением Усть-Каменогорского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800000"/>
          <w:sz w:val="28"/>
        </w:rPr>
        <w:t>; п</w:t>
      </w:r>
      <w:r>
        <w:rPr>
          <w:rFonts w:ascii="Times New Roman"/>
          <w:b w:val="false"/>
          <w:i/>
          <w:color w:val="800000"/>
          <w:sz w:val="28"/>
        </w:rPr>
        <w:t xml:space="preserve">ункт 10 с изменениями и дополнениями, внесенными решениями Усть- Каменогорского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№ 16/7,</w:t>
      </w:r>
      <w:r>
        <w:rPr>
          <w:rFonts w:ascii="Times New Roman"/>
          <w:b w:val="false"/>
          <w:i/>
          <w:color w:val="800000"/>
          <w:sz w:val="28"/>
        </w:rPr>
        <w:t xml:space="preserve"> от 24.11.2009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11. Предусмотреть в бюджете города Усть-Каменогорска на 2009 год целевые текущие трансферты из республиканского бюджета на расширение программы социальных рабочих мест и молодежной практики в сумме 168 318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84 368 тысяч тенге –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83 950 тысяч тенге – на расширение программ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11 в соответствии с решением Усть-Каменогорского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800000"/>
          <w:sz w:val="28"/>
        </w:rPr>
        <w:t xml:space="preserve">; пункт 11 с изменениями, внесенными решениями Усть-Каменогорского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/>
          <w:color w:val="80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000000"/>
          <w:sz w:val="28"/>
        </w:rPr>
        <w:t>№ 18/7;</w:t>
      </w:r>
      <w:r>
        <w:rPr>
          <w:rFonts w:ascii="Times New Roman"/>
          <w:b w:val="false"/>
          <w:i/>
          <w:color w:val="800000"/>
          <w:sz w:val="28"/>
        </w:rPr>
        <w:t xml:space="preserve"> от 24.11.2009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предусмотреть в бюджете города Усть-Каменогорска на 2009 год средства на приобретение топлива из расчета по 5000 тенге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12 в соответствии с решением Усть-Каменогорского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№ 16/7.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Изменена нумерация пункта в соответствии  с решениями Усть-Каменогорского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800000"/>
          <w:sz w:val="28"/>
        </w:rPr>
        <w:t xml:space="preserve">; 23.07.2009 </w:t>
      </w:r>
      <w:r>
        <w:rPr>
          <w:rFonts w:ascii="Times New Roman"/>
          <w:b w:val="false"/>
          <w:i w:val="false"/>
          <w:color w:val="000000"/>
          <w:sz w:val="28"/>
        </w:rPr>
        <w:t>№ 16/7.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Н. Баранов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Е.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Усть-Каменогорского городского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Усть-Каменогорска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8115"/>
        <w:gridCol w:w="22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 тысяч  тенге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14896369,7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6081191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2559459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1538867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534 334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483 396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201 515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</w:p>
        </w:tc>
      </w:tr>
      <w:tr>
        <w:trPr>
          <w:trHeight w:val="5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158 181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5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0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1252089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397 699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390 899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80"/>
        <w:gridCol w:w="880"/>
        <w:gridCol w:w="8106"/>
        <w:gridCol w:w="22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14857653,7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</w:p>
        </w:tc>
      </w:tr>
      <w:tr>
        <w:trPr>
          <w:trHeight w:val="3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4 393 248,7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4 352 854,7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2 997 155,8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252 167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437 522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24 404,9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238 979</w:t>
            </w:r>
          </w:p>
        </w:tc>
      </w:tr>
      <w:tr>
        <w:trPr>
          <w:trHeight w:val="10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46 973,5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185 772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5698639,1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3395450,8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269 736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156928,7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92403,9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2370284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2303188,3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396796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893176,3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933887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802269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35 239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</w:p>
        </w:tc>
      </w:tr>
      <w:tr>
        <w:trPr>
          <w:trHeight w:val="7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 стратегии региональной занятости и 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368588,2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80 551,3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147944,7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-109228,7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Усть-Каменогорского городского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Усть-Каменогорска на 2009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 и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76"/>
        <w:gridCol w:w="776"/>
        <w:gridCol w:w="104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не</w:t>
      </w:r>
      <w:r>
        <w:rPr>
          <w:rFonts w:ascii="Times New Roman"/>
          <w:b/>
          <w:i w:val="false"/>
          <w:color w:val="000080"/>
          <w:sz w:val="28"/>
        </w:rPr>
        <w:t xml:space="preserve"> подлежащих</w:t>
      </w:r>
      <w:r>
        <w:rPr>
          <w:rFonts w:ascii="Times New Roman"/>
          <w:b/>
          <w:i w:val="false"/>
          <w:color w:val="000080"/>
          <w:sz w:val="28"/>
        </w:rPr>
        <w:t xml:space="preserve">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</w:t>
      </w:r>
      <w:r>
        <w:rPr>
          <w:rFonts w:ascii="Times New Roman"/>
          <w:b/>
          <w:i w:val="false"/>
          <w:color w:val="000080"/>
          <w:sz w:val="28"/>
        </w:rPr>
        <w:t xml:space="preserve"> процессе</w:t>
      </w:r>
      <w:r>
        <w:rPr>
          <w:rFonts w:ascii="Times New Roman"/>
          <w:b/>
          <w:i w:val="false"/>
          <w:color w:val="000080"/>
          <w:sz w:val="28"/>
        </w:rPr>
        <w:t xml:space="preserve"> исполнения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Усть</w:t>
      </w:r>
      <w:r>
        <w:rPr>
          <w:rFonts w:ascii="Times New Roman"/>
          <w:b/>
          <w:i w:val="false"/>
          <w:color w:val="000080"/>
          <w:sz w:val="28"/>
        </w:rPr>
        <w:t>-</w:t>
      </w:r>
      <w:r>
        <w:rPr>
          <w:rFonts w:ascii="Times New Roman"/>
          <w:b/>
          <w:i w:val="false"/>
          <w:color w:val="000080"/>
          <w:sz w:val="28"/>
        </w:rPr>
        <w:t>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65"/>
        <w:gridCol w:w="804"/>
        <w:gridCol w:w="10736"/>
      </w:tblGrid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аппарата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Меновновского</w:t>
      </w:r>
      <w:r>
        <w:rPr>
          <w:rFonts w:ascii="Times New Roman"/>
          <w:b/>
          <w:i w:val="false"/>
          <w:color w:val="000080"/>
          <w:sz w:val="28"/>
        </w:rPr>
        <w:t xml:space="preserve"> сельского</w:t>
      </w:r>
      <w:r>
        <w:rPr>
          <w:rFonts w:ascii="Times New Roman"/>
          <w:b/>
          <w:i w:val="false"/>
          <w:color w:val="000080"/>
          <w:sz w:val="28"/>
        </w:rPr>
        <w:t xml:space="preserve">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84"/>
        <w:gridCol w:w="784"/>
        <w:gridCol w:w="107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