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55190" w14:textId="f155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Курчатова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26 декабря 2008 года N 14/101-IV. Зарегистрировано Управлением юстиции города Курчатова Департамента юстиции Восточно-Казахстанской области 6    января 2009 года за N 5-3-64. Прекращено действие по истечении срока, на который решение было принято, на основании письма аппарата Курчатовского городского маслихата Восточно-Казахстанской области от 15 января 2010 N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принято, на основании письма аппарата Курчатовского городского маслихата Восточно-Казахстанской области от 15.01.2010 N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24 апреля 2004 года № 548,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Восточно-Казахстанского областного маслихата от 19 декабря 2008 года № 10/129-IV «Об областном бюджете на 2009 год» (зарегистрировано в Реестре государственной регистрации нормативных правовых актов 30 декабря 2008 года, регистрационный номер 2491)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Курчатова на 2009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705581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393956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10568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298539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713094,3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- 514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514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-6999,3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(профицита) бюджета – 6999,3 тысячи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Курчатовского городского маслихата Восточно-Казахстанской области от 23.07.2009 </w:t>
      </w:r>
      <w:r>
        <w:rPr>
          <w:rFonts w:ascii="Times New Roman"/>
          <w:b w:val="false"/>
          <w:i w:val="false"/>
          <w:color w:val="000000"/>
          <w:sz w:val="28"/>
        </w:rPr>
        <w:t>N 20/146-IV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27.10.2009 </w:t>
      </w:r>
      <w:r>
        <w:rPr>
          <w:rFonts w:ascii="Times New Roman"/>
          <w:b w:val="false"/>
          <w:i w:val="false"/>
          <w:color w:val="000000"/>
          <w:sz w:val="28"/>
        </w:rPr>
        <w:t>N 21/165-IV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24.11.2009 </w:t>
      </w:r>
      <w:r>
        <w:rPr>
          <w:rFonts w:ascii="Times New Roman"/>
          <w:b w:val="false"/>
          <w:i w:val="false"/>
          <w:color w:val="000000"/>
          <w:sz w:val="28"/>
        </w:rPr>
        <w:t>N 22/174-IV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2009 год нормативы распределения доходов в бюджет города по социальному налогу, индивидуальному подоходному налогу с доходов, облагаемых у источников выплаты, индивидуальному подоходному налогу с доходов иностранных граждан, облагаемых у источника выплаты в размере 93.6%.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Курчатовского городского маслихата Восточно-Казахстанской области от 27.10.2009 </w:t>
      </w:r>
      <w:r>
        <w:rPr>
          <w:rFonts w:ascii="Times New Roman"/>
          <w:b w:val="false"/>
          <w:i w:val="false"/>
          <w:color w:val="000000"/>
          <w:sz w:val="28"/>
        </w:rPr>
        <w:t>N 21/165-IV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Городскому отделу казначейства с 1 января 2009 года производить зачисление сумм доходов в соответствующие бюджеты по установленным нормативам.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городском бюджете на 2009 год объем субвенции, передаваемой из областного бюджета в сумме 12921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города на 2009 год в сумме 308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–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по исполнению обязательств по решению судов – 208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решением Курчатовского городского маслихата Восточно-Казахстанской области от 27.10.2009 </w:t>
      </w:r>
      <w:r>
        <w:rPr>
          <w:rFonts w:ascii="Times New Roman"/>
          <w:b w:val="false"/>
          <w:i w:val="false"/>
          <w:color w:val="000000"/>
          <w:sz w:val="28"/>
        </w:rPr>
        <w:t>N 21/165-IV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 развития городского бюджета на 2009 год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городских бюджетных программ, не подлежащих секвестру в процессе исполнения городского бюджета на 2009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 в городском бюджете на 2009 год предусмотренные трансферты из областного бюджета в сумме 42300 тысяч тенге, выделенные на прочистку ливневой канализации.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Учесть предусмотренные текущие трансферты из областного бюджета в сумме 36000 тысяч тенге,выделенные на завершение капитального ремонта здания бывшего ПТШ № 1 для открытия школы с казахским языком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Курчатовского городского маслихата Восточно-Казахстанской области от 19.02.2009 </w:t>
      </w:r>
      <w:r>
        <w:rPr>
          <w:rFonts w:ascii="Times New Roman"/>
          <w:b w:val="false"/>
          <w:i w:val="false"/>
          <w:color w:val="000000"/>
          <w:sz w:val="28"/>
        </w:rPr>
        <w:t>N 16/118-IV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27.10.2009 </w:t>
      </w:r>
      <w:r>
        <w:rPr>
          <w:rFonts w:ascii="Times New Roman"/>
          <w:b w:val="false"/>
          <w:i w:val="false"/>
          <w:color w:val="000000"/>
          <w:sz w:val="28"/>
        </w:rPr>
        <w:t>N 21/165-IV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городском бюджете на 2009 год трансферты из областного бюджета на социальную помощь отдельным категориям нуждающихся граждан в сумме 25983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26993 тысяч тенге – на оказание материальной помощи некоторым категориям граждан (участникам ВОВ, инвалидам ВОВ, лицам, приравненным к участникам ВОВ и инвалидам ВОВ, семьям погибших военнослужащих);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650 тысячу тенге – для обучения детей из малообеспеченных семей в высших учебных заведениях (стоимость обучения, стипендии, проживание в общежитии);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140 тысяч тенге – на оказание единовременной материальной помощи многодетным материям, награжденным подвесками «Алтын алқа», «Күміс алқа» или получившие ранее звание «Мать-героиня» и награжденные орденом «Материнская слава» 1, 2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220 тысяч тенге – на оказание единовременной материальной помощи многодетным матерям, имеющим 4 и более совместно проживающих несовершеннолетних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решением Курчатовского городского маслихата Восточно-Казахстанской области от 23.07.2009 </w:t>
      </w:r>
      <w:r>
        <w:rPr>
          <w:rFonts w:ascii="Times New Roman"/>
          <w:b w:val="false"/>
          <w:i w:val="false"/>
          <w:color w:val="000000"/>
          <w:sz w:val="28"/>
        </w:rPr>
        <w:t>N 20/146-IV,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27.10.2009 </w:t>
      </w:r>
      <w:r>
        <w:rPr>
          <w:rFonts w:ascii="Times New Roman"/>
          <w:b w:val="false"/>
          <w:i w:val="false"/>
          <w:color w:val="000000"/>
          <w:sz w:val="28"/>
        </w:rPr>
        <w:t>N 21/165-IV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9-1. Предусмотреть в городском бюджете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429 тысяч тенге –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846 тысяч тенге –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3810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447 тысяч тенге – на внедрение новых технологий в государственной системе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9-1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Курчатовского городского маслихата Восточно-Казахстанской области от 19.02.2009 N </w:t>
      </w:r>
      <w:r>
        <w:rPr>
          <w:rFonts w:ascii="Times New Roman"/>
          <w:b w:val="false"/>
          <w:i w:val="false"/>
          <w:color w:val="000000"/>
          <w:sz w:val="28"/>
        </w:rPr>
        <w:t>16/118-IV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с изменениями, внесенными решением Курчатовского городского маслихата Восточно-Казахстанской области от 24.11.2009 </w:t>
      </w:r>
      <w:r>
        <w:rPr>
          <w:rFonts w:ascii="Times New Roman"/>
          <w:b w:val="false"/>
          <w:i w:val="false"/>
          <w:color w:val="000000"/>
          <w:sz w:val="28"/>
        </w:rPr>
        <w:t>N 22/174-IV</w:t>
      </w:r>
      <w:r>
        <w:rPr>
          <w:rFonts w:ascii="Times New Roman"/>
          <w:b w:val="false"/>
          <w:i w:val="false"/>
          <w:color w:val="ff0000"/>
          <w:sz w:val="28"/>
        </w:rPr>
        <w:t>.(вводится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9-2. Предусмотреть в городском бюджете на 2009 год целевые текущие трансферты из республиканского бюджета на обеспечение занятости в рамках реализации стратегии региональной занятости и переподготовки кадров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5286 тысяч тенге – на расширение программы социальных рабочих мест и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65700 тысяч тенге –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53681 тысяча тенге – на капитальный и текущий ремонт объектов культуры в рамках реализации стратегии региональной занятости и переподготовки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8561 тысяча тенге – на ремонт и содержание автомобильных дорог районного значения и улиц городов в рамках реализации стратегии региональной занятости и переподготовки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9-2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Курчатовского городского маслихата Восточно-Казахстанской области от 23.04.2009 </w:t>
      </w:r>
      <w:r>
        <w:rPr>
          <w:rFonts w:ascii="Times New Roman"/>
          <w:b w:val="false"/>
          <w:i w:val="false"/>
          <w:color w:val="000000"/>
          <w:sz w:val="28"/>
        </w:rPr>
        <w:t>N 18/133-IV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с изменениями, внесенными решением Курчатовского городского маслихата Восточно-Казахстанской области от 23.07.2009 </w:t>
      </w:r>
      <w:r>
        <w:rPr>
          <w:rFonts w:ascii="Times New Roman"/>
          <w:b w:val="false"/>
          <w:i w:val="false"/>
          <w:color w:val="000000"/>
          <w:sz w:val="28"/>
        </w:rPr>
        <w:t>N 20/146-IV</w:t>
      </w:r>
      <w:r>
        <w:rPr>
          <w:rFonts w:ascii="Times New Roman"/>
          <w:b w:val="false"/>
          <w:i w:val="false"/>
          <w:color w:val="ff0000"/>
          <w:sz w:val="28"/>
        </w:rPr>
        <w:t>.(вводится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 в городском бюджете предусмотренные трансферты на развитие в сумме 41565 тысячи тенге, выделенные на разработку проектно-сметной документации на реконструкцию четырех жилых домов и инженерных 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изменениями, внесенными решением Курчатовского городского маслихата Восточно-Казахстанской области от 23.07.2009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20/146-IV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        Г. ГОСТЕВ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rPr>
          <w:rFonts w:ascii="Times New Roman"/>
          <w:b w:val="false"/>
          <w:i/>
          <w:color w:val="000000"/>
          <w:sz w:val="28"/>
        </w:rPr>
        <w:t>Курчатовского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 Ш. ТУЛЕУТАЕВ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14/101-IV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Уточненный бюджет города Курчатова на 2009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Курчатовского городского маслихата Восточно-Казахстанской области от 24.11.2009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22/174-IV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818"/>
        <w:gridCol w:w="731"/>
        <w:gridCol w:w="970"/>
        <w:gridCol w:w="948"/>
        <w:gridCol w:w="6536"/>
        <w:gridCol w:w="2689"/>
      </w:tblGrid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705 581,00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393 956,00</w:t>
            </w:r>
          </w:p>
        </w:tc>
      </w:tr>
      <w:tr>
        <w:trPr>
          <w:trHeight w:val="2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139 650,00</w:t>
            </w:r>
          </w:p>
        </w:tc>
      </w:tr>
      <w:tr>
        <w:trPr>
          <w:trHeight w:val="5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139 650,00</w:t>
            </w:r>
          </w:p>
        </w:tc>
      </w:tr>
      <w:tr>
        <w:trPr>
          <w:trHeight w:val="73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129 468,0</w:t>
            </w:r>
          </w:p>
        </w:tc>
      </w:tr>
      <w:tr>
        <w:trPr>
          <w:trHeight w:val="70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9 282,0</w:t>
            </w:r>
          </w:p>
        </w:tc>
      </w:tr>
      <w:tr>
        <w:trPr>
          <w:trHeight w:val="9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9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138 782,0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138 782,0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138 782,0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93 627,0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53 497,0</w:t>
            </w:r>
          </w:p>
        </w:tc>
      </w:tr>
      <w:tr>
        <w:trPr>
          <w:trHeight w:val="6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52 791,00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28 035,0</w:t>
            </w:r>
          </w:p>
        </w:tc>
      </w:tr>
      <w:tr>
        <w:trPr>
          <w:trHeight w:val="73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1 985,0</w:t>
            </w:r>
          </w:p>
        </w:tc>
      </w:tr>
      <w:tr>
        <w:trPr>
          <w:trHeight w:val="12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26 050,0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12 095,0</w:t>
            </w:r>
          </w:p>
        </w:tc>
      </w:tr>
      <w:tr>
        <w:trPr>
          <w:trHeight w:val="4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4 227,0</w:t>
            </w:r>
          </w:p>
        </w:tc>
      </w:tr>
      <w:tr>
        <w:trPr>
          <w:trHeight w:val="4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7 868,00</w:t>
            </w:r>
          </w:p>
        </w:tc>
      </w:tr>
      <w:tr>
        <w:trPr>
          <w:trHeight w:val="5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20 076,0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15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12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43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15 830,0</w:t>
            </w:r>
          </w:p>
        </w:tc>
      </w:tr>
      <w:tr>
        <w:trPr>
          <w:trHeight w:val="5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15 830,0</w:t>
            </w:r>
          </w:p>
        </w:tc>
      </w:tr>
      <w:tr>
        <w:trPr>
          <w:trHeight w:val="6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3 258,0</w:t>
            </w:r>
          </w:p>
        </w:tc>
      </w:tr>
      <w:tr>
        <w:trPr>
          <w:trHeight w:val="72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72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1 254,0</w:t>
            </w:r>
          </w:p>
        </w:tc>
      </w:tr>
      <w:tr>
        <w:trPr>
          <w:trHeight w:val="12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100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70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15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17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1 821,0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1 821,0</w:t>
            </w:r>
          </w:p>
        </w:tc>
      </w:tr>
      <w:tr>
        <w:trPr>
          <w:trHeight w:val="60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</w:p>
        </w:tc>
      </w:tr>
      <w:tr>
        <w:trPr>
          <w:trHeight w:val="283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22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23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8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9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7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0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2 518,0</w:t>
            </w:r>
          </w:p>
        </w:tc>
      </w:tr>
      <w:tr>
        <w:trPr>
          <w:trHeight w:val="4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2 180,0</w:t>
            </w:r>
          </w:p>
        </w:tc>
      </w:tr>
      <w:tr>
        <w:trPr>
          <w:trHeight w:val="70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2 180,0</w:t>
            </w:r>
          </w:p>
        </w:tc>
      </w:tr>
      <w:tr>
        <w:trPr>
          <w:trHeight w:val="6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2 180,0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70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43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5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10 568,0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10 568,0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</w:p>
        </w:tc>
      </w:tr>
      <w:tr>
        <w:trPr>
          <w:trHeight w:val="5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10 500,00</w:t>
            </w:r>
          </w:p>
        </w:tc>
      </w:tr>
      <w:tr>
        <w:trPr>
          <w:trHeight w:val="2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45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298 539,0</w:t>
            </w:r>
          </w:p>
        </w:tc>
      </w:tr>
      <w:tr>
        <w:trPr>
          <w:trHeight w:val="78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298 539,0</w:t>
            </w:r>
          </w:p>
        </w:tc>
      </w:tr>
      <w:tr>
        <w:trPr>
          <w:trHeight w:val="5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298 539,0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244 053,0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41 565,00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813"/>
        <w:gridCol w:w="899"/>
        <w:gridCol w:w="791"/>
        <w:gridCol w:w="856"/>
        <w:gridCol w:w="6341"/>
        <w:gridCol w:w="2628"/>
      </w:tblGrid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713 094,3</w:t>
            </w:r>
          </w:p>
        </w:tc>
      </w:tr>
      <w:tr>
        <w:trPr>
          <w:trHeight w:val="4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61 720,0</w:t>
            </w:r>
          </w:p>
        </w:tc>
      </w:tr>
      <w:tr>
        <w:trPr>
          <w:trHeight w:val="12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48 905,0</w:t>
            </w:r>
          </w:p>
        </w:tc>
      </w:tr>
      <w:tr>
        <w:trPr>
          <w:trHeight w:val="4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9 223,0</w:t>
            </w:r>
          </w:p>
        </w:tc>
      </w:tr>
      <w:tr>
        <w:trPr>
          <w:trHeight w:val="7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9 223,0</w:t>
            </w:r>
          </w:p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9 223,0</w:t>
            </w:r>
          </w:p>
        </w:tc>
      </w:tr>
      <w:tr>
        <w:trPr>
          <w:trHeight w:val="4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39 682,0</w:t>
            </w:r>
          </w:p>
        </w:tc>
      </w:tr>
      <w:tr>
        <w:trPr>
          <w:trHeight w:val="7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39 329,0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35 801,0</w:t>
            </w:r>
          </w:p>
        </w:tc>
      </w:tr>
      <w:tr>
        <w:trPr>
          <w:trHeight w:val="7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7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4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9 182,00</w:t>
            </w:r>
          </w:p>
        </w:tc>
      </w:tr>
      <w:tr>
        <w:trPr>
          <w:trHeight w:val="4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9 182,00</w:t>
            </w:r>
          </w:p>
        </w:tc>
      </w:tr>
      <w:tr>
        <w:trPr>
          <w:trHeight w:val="4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8 137,00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8 137,0</w:t>
            </w:r>
          </w:p>
        </w:tc>
      </w:tr>
      <w:tr>
        <w:trPr>
          <w:trHeight w:val="4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4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1 003,00</w:t>
            </w:r>
          </w:p>
        </w:tc>
      </w:tr>
      <w:tr>
        <w:trPr>
          <w:trHeight w:val="4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3 633,0</w:t>
            </w:r>
          </w:p>
        </w:tc>
      </w:tr>
      <w:tr>
        <w:trPr>
          <w:trHeight w:val="6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3 633,0</w:t>
            </w:r>
          </w:p>
        </w:tc>
      </w:tr>
      <w:tr>
        <w:trPr>
          <w:trHeight w:val="70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3 633,0</w:t>
            </w:r>
          </w:p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3 633,0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1 998,0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1 998,0</w:t>
            </w:r>
          </w:p>
        </w:tc>
      </w:tr>
      <w:tr>
        <w:trPr>
          <w:trHeight w:val="40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1 998,0</w:t>
            </w:r>
          </w:p>
        </w:tc>
      </w:tr>
      <w:tr>
        <w:trPr>
          <w:trHeight w:val="7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1 998,0</w:t>
            </w:r>
          </w:p>
        </w:tc>
      </w:tr>
      <w:tr>
        <w:trPr>
          <w:trHeight w:val="13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5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12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7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245 983,00</w:t>
            </w:r>
          </w:p>
        </w:tc>
      </w:tr>
      <w:tr>
        <w:trPr>
          <w:trHeight w:val="4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24 875,0</w:t>
            </w:r>
          </w:p>
        </w:tc>
      </w:tr>
      <w:tr>
        <w:trPr>
          <w:trHeight w:val="4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24 875,0</w:t>
            </w:r>
          </w:p>
        </w:tc>
      </w:tr>
      <w:tr>
        <w:trPr>
          <w:trHeight w:val="6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24 875,0</w:t>
            </w:r>
          </w:p>
        </w:tc>
      </w:tr>
      <w:tr>
        <w:trPr>
          <w:trHeight w:val="4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 образование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212 623,0</w:t>
            </w:r>
          </w:p>
        </w:tc>
      </w:tr>
      <w:tr>
        <w:trPr>
          <w:trHeight w:val="4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212 623,0</w:t>
            </w:r>
          </w:p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202 346,00</w:t>
            </w:r>
          </w:p>
        </w:tc>
      </w:tr>
      <w:tr>
        <w:trPr>
          <w:trHeight w:val="12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гимназии, лицеи, профильные школы начального, основного среднего и общего среднего образования, школы-детские сады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202 346,00</w:t>
            </w:r>
          </w:p>
        </w:tc>
      </w:tr>
      <w:tr>
        <w:trPr>
          <w:trHeight w:val="4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9 830,0</w:t>
            </w:r>
          </w:p>
        </w:tc>
      </w:tr>
      <w:tr>
        <w:trPr>
          <w:trHeight w:val="12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5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8 485,0</w:t>
            </w:r>
          </w:p>
        </w:tc>
      </w:tr>
      <w:tr>
        <w:trPr>
          <w:trHeight w:val="4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8 214,0</w:t>
            </w:r>
          </w:p>
        </w:tc>
      </w:tr>
      <w:tr>
        <w:trPr>
          <w:trHeight w:val="4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6 584,0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6 584,0</w:t>
            </w:r>
          </w:p>
        </w:tc>
      </w:tr>
      <w:tr>
        <w:trPr>
          <w:trHeight w:val="17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1 630,0</w:t>
            </w:r>
          </w:p>
        </w:tc>
      </w:tr>
      <w:tr>
        <w:trPr>
          <w:trHeight w:val="4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4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5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4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60 171,0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51 571,0</w:t>
            </w:r>
          </w:p>
        </w:tc>
      </w:tr>
      <w:tr>
        <w:trPr>
          <w:trHeight w:val="7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51 571,0</w:t>
            </w:r>
          </w:p>
        </w:tc>
      </w:tr>
      <w:tr>
        <w:trPr>
          <w:trHeight w:val="3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16 746,0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8 758,0</w:t>
            </w:r>
          </w:p>
        </w:tc>
      </w:tr>
      <w:tr>
        <w:trPr>
          <w:trHeight w:val="4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1 341,0</w:t>
            </w:r>
          </w:p>
        </w:tc>
      </w:tr>
      <w:tr>
        <w:trPr>
          <w:trHeight w:val="70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1 361,0</w:t>
            </w:r>
          </w:p>
        </w:tc>
      </w:tr>
      <w:tr>
        <w:trPr>
          <w:trHeight w:val="12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5 286,0</w:t>
            </w:r>
          </w:p>
        </w:tc>
      </w:tr>
      <w:tr>
        <w:trPr>
          <w:trHeight w:val="4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1 818,0</w:t>
            </w:r>
          </w:p>
        </w:tc>
      </w:tr>
      <w:tr>
        <w:trPr>
          <w:trHeight w:val="4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4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1 389,0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2 942,0</w:t>
            </w:r>
          </w:p>
        </w:tc>
      </w:tr>
      <w:tr>
        <w:trPr>
          <w:trHeight w:val="100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27 523,0</w:t>
            </w:r>
          </w:p>
        </w:tc>
      </w:tr>
      <w:tr>
        <w:trPr>
          <w:trHeight w:val="9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4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1 126,0</w:t>
            </w:r>
          </w:p>
        </w:tc>
      </w:tr>
      <w:tr>
        <w:trPr>
          <w:trHeight w:val="4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5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3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70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8 600,00</w:t>
            </w:r>
          </w:p>
        </w:tc>
      </w:tr>
      <w:tr>
        <w:trPr>
          <w:trHeight w:val="6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8 600,00</w:t>
            </w:r>
          </w:p>
        </w:tc>
      </w:tr>
      <w:tr>
        <w:trPr>
          <w:trHeight w:val="7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8 426,0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8 286,0</w:t>
            </w:r>
          </w:p>
        </w:tc>
      </w:tr>
      <w:tr>
        <w:trPr>
          <w:trHeight w:val="7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170 063,00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44 949,00</w:t>
            </w:r>
          </w:p>
        </w:tc>
      </w:tr>
      <w:tr>
        <w:trPr>
          <w:trHeight w:val="12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2 410,00</w:t>
            </w:r>
          </w:p>
        </w:tc>
      </w:tr>
      <w:tr>
        <w:trPr>
          <w:trHeight w:val="8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2 410,00</w:t>
            </w:r>
          </w:p>
        </w:tc>
      </w:tr>
      <w:tr>
        <w:trPr>
          <w:trHeight w:val="4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42 539,0</w:t>
            </w:r>
          </w:p>
        </w:tc>
      </w:tr>
      <w:tr>
        <w:trPr>
          <w:trHeight w:val="100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7 207,00</w:t>
            </w:r>
          </w:p>
        </w:tc>
      </w:tr>
      <w:tr>
        <w:trPr>
          <w:trHeight w:val="4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7 207,0</w:t>
            </w:r>
          </w:p>
        </w:tc>
      </w:tr>
      <w:tr>
        <w:trPr>
          <w:trHeight w:val="5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35 332,0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35 332,0</w:t>
            </w:r>
          </w:p>
        </w:tc>
      </w:tr>
      <w:tr>
        <w:trPr>
          <w:trHeight w:val="3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105 473,00</w:t>
            </w:r>
          </w:p>
        </w:tc>
      </w:tr>
      <w:tr>
        <w:trPr>
          <w:trHeight w:val="12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79 999,0</w:t>
            </w:r>
          </w:p>
        </w:tc>
      </w:tr>
      <w:tr>
        <w:trPr>
          <w:trHeight w:val="20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79 999,0</w:t>
            </w:r>
          </w:p>
        </w:tc>
      </w:tr>
      <w:tr>
        <w:trPr>
          <w:trHeight w:val="40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65 700,0</w:t>
            </w:r>
          </w:p>
        </w:tc>
      </w:tr>
      <w:tr>
        <w:trPr>
          <w:trHeight w:val="7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14 299,0</w:t>
            </w:r>
          </w:p>
        </w:tc>
      </w:tr>
      <w:tr>
        <w:trPr>
          <w:trHeight w:val="4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25 474,00</w:t>
            </w:r>
          </w:p>
        </w:tc>
      </w:tr>
      <w:tr>
        <w:trPr>
          <w:trHeight w:val="4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25 474,00</w:t>
            </w:r>
          </w:p>
        </w:tc>
      </w:tr>
      <w:tr>
        <w:trPr>
          <w:trHeight w:val="4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25 474,00</w:t>
            </w:r>
          </w:p>
        </w:tc>
      </w:tr>
      <w:tr>
        <w:trPr>
          <w:trHeight w:val="5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19 641,0</w:t>
            </w:r>
          </w:p>
        </w:tc>
      </w:tr>
      <w:tr>
        <w:trPr>
          <w:trHeight w:val="12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19 641,00</w:t>
            </w:r>
          </w:p>
        </w:tc>
      </w:tr>
      <w:tr>
        <w:trPr>
          <w:trHeight w:val="5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5 692,0</w:t>
            </w:r>
          </w:p>
        </w:tc>
      </w:tr>
      <w:tr>
        <w:trPr>
          <w:trHeight w:val="5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8 000,00</w:t>
            </w:r>
          </w:p>
        </w:tc>
      </w:tr>
      <w:tr>
        <w:trPr>
          <w:trHeight w:val="4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4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5 932,00</w:t>
            </w:r>
          </w:p>
        </w:tc>
      </w:tr>
      <w:tr>
        <w:trPr>
          <w:trHeight w:val="7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94 892,00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19 251,00</w:t>
            </w:r>
          </w:p>
        </w:tc>
      </w:tr>
      <w:tr>
        <w:trPr>
          <w:trHeight w:val="7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19 251,00</w:t>
            </w:r>
          </w:p>
        </w:tc>
      </w:tr>
      <w:tr>
        <w:trPr>
          <w:trHeight w:val="5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19 251,00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9 571,00</w:t>
            </w:r>
          </w:p>
        </w:tc>
      </w:tr>
      <w:tr>
        <w:trPr>
          <w:trHeight w:val="70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7 950,0</w:t>
            </w:r>
          </w:p>
        </w:tc>
      </w:tr>
      <w:tr>
        <w:trPr>
          <w:trHeight w:val="4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4 739,00</w:t>
            </w:r>
          </w:p>
        </w:tc>
      </w:tr>
      <w:tr>
        <w:trPr>
          <w:trHeight w:val="7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3 211,0</w:t>
            </w:r>
          </w:p>
        </w:tc>
      </w:tr>
      <w:tr>
        <w:trPr>
          <w:trHeight w:val="7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1 621,00</w:t>
            </w:r>
          </w:p>
        </w:tc>
      </w:tr>
      <w:tr>
        <w:trPr>
          <w:trHeight w:val="9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1 621,00</w:t>
            </w:r>
          </w:p>
        </w:tc>
      </w:tr>
      <w:tr>
        <w:trPr>
          <w:trHeight w:val="7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газеты и журналы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</w:tr>
      <w:tr>
        <w:trPr>
          <w:trHeight w:val="7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телерадиовещание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7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66 070,00</w:t>
            </w:r>
          </w:p>
        </w:tc>
      </w:tr>
      <w:tr>
        <w:trPr>
          <w:trHeight w:val="7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3 274,0 </w:t>
            </w:r>
          </w:p>
        </w:tc>
      </w:tr>
      <w:tr>
        <w:trPr>
          <w:trHeight w:val="6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3 274,0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3 274,0</w:t>
            </w:r>
          </w:p>
        </w:tc>
      </w:tr>
      <w:tr>
        <w:trPr>
          <w:trHeight w:val="7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4 066,00</w:t>
            </w:r>
          </w:p>
        </w:tc>
      </w:tr>
      <w:tr>
        <w:trPr>
          <w:trHeight w:val="5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3 897,00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3 897,0</w:t>
            </w:r>
          </w:p>
        </w:tc>
      </w:tr>
      <w:tr>
        <w:trPr>
          <w:trHeight w:val="7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7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58 730,0</w:t>
            </w:r>
          </w:p>
        </w:tc>
      </w:tr>
      <w:tr>
        <w:trPr>
          <w:trHeight w:val="130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58 730,0</w:t>
            </w:r>
          </w:p>
        </w:tc>
      </w:tr>
      <w:tr>
        <w:trPr>
          <w:trHeight w:val="4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53 681,0</w:t>
            </w:r>
          </w:p>
        </w:tc>
      </w:tr>
      <w:tr>
        <w:trPr>
          <w:trHeight w:val="7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5 049,0</w:t>
            </w:r>
          </w:p>
        </w:tc>
      </w:tr>
      <w:tr>
        <w:trPr>
          <w:trHeight w:val="18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3 475,00</w:t>
            </w:r>
          </w:p>
        </w:tc>
      </w:tr>
      <w:tr>
        <w:trPr>
          <w:trHeight w:val="3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3 475,0</w:t>
            </w:r>
          </w:p>
        </w:tc>
      </w:tr>
      <w:tr>
        <w:trPr>
          <w:trHeight w:val="7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3 475,00</w:t>
            </w:r>
          </w:p>
        </w:tc>
      </w:tr>
      <w:tr>
        <w:trPr>
          <w:trHeight w:val="4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3 475,0</w:t>
            </w:r>
          </w:p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3 475,0</w:t>
            </w:r>
          </w:p>
        </w:tc>
      </w:tr>
      <w:tr>
        <w:trPr>
          <w:trHeight w:val="100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3 309,0</w:t>
            </w:r>
          </w:p>
        </w:tc>
      </w:tr>
      <w:tr>
        <w:trPr>
          <w:trHeight w:val="6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3 309,0</w:t>
            </w:r>
          </w:p>
        </w:tc>
      </w:tr>
      <w:tr>
        <w:trPr>
          <w:trHeight w:val="4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3 309,0</w:t>
            </w:r>
          </w:p>
        </w:tc>
      </w:tr>
      <w:tr>
        <w:trPr>
          <w:trHeight w:val="40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3 309,0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3 309,0</w:t>
            </w:r>
          </w:p>
        </w:tc>
      </w:tr>
      <w:tr>
        <w:trPr>
          <w:trHeight w:val="1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58 171,00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46 078,00</w:t>
            </w:r>
          </w:p>
        </w:tc>
      </w:tr>
      <w:tr>
        <w:trPr>
          <w:trHeight w:val="12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46 078,00</w:t>
            </w:r>
          </w:p>
        </w:tc>
      </w:tr>
      <w:tr>
        <w:trPr>
          <w:trHeight w:val="4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46 078,00</w:t>
            </w:r>
          </w:p>
        </w:tc>
      </w:tr>
      <w:tr>
        <w:trPr>
          <w:trHeight w:val="4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46 078,00</w:t>
            </w:r>
          </w:p>
        </w:tc>
      </w:tr>
      <w:tr>
        <w:trPr>
          <w:trHeight w:val="4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12 093,0</w:t>
            </w:r>
          </w:p>
        </w:tc>
      </w:tr>
      <w:tr>
        <w:trPr>
          <w:trHeight w:val="12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12 093,0</w:t>
            </w:r>
          </w:p>
        </w:tc>
      </w:tr>
      <w:tr>
        <w:trPr>
          <w:trHeight w:val="17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12 093,0</w:t>
            </w:r>
          </w:p>
        </w:tc>
      </w:tr>
      <w:tr>
        <w:trPr>
          <w:trHeight w:val="4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8 561,00</w:t>
            </w:r>
          </w:p>
        </w:tc>
      </w:tr>
      <w:tr>
        <w:trPr>
          <w:trHeight w:val="7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3 532,00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9 938,00</w:t>
            </w:r>
          </w:p>
        </w:tc>
      </w:tr>
      <w:tr>
        <w:trPr>
          <w:trHeight w:val="6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3 798,00</w:t>
            </w:r>
          </w:p>
        </w:tc>
      </w:tr>
      <w:tr>
        <w:trPr>
          <w:trHeight w:val="7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3 798,0</w:t>
            </w:r>
          </w:p>
        </w:tc>
      </w:tr>
      <w:tr>
        <w:trPr>
          <w:trHeight w:val="4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3 798,0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3 698,0</w:t>
            </w:r>
          </w:p>
        </w:tc>
      </w:tr>
      <w:tr>
        <w:trPr>
          <w:trHeight w:val="8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6 140,00</w:t>
            </w:r>
          </w:p>
        </w:tc>
      </w:tr>
      <w:tr>
        <w:trPr>
          <w:trHeight w:val="4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6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0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ситуации природного и техногенного характера на территории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12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5 832,00</w:t>
            </w:r>
          </w:p>
        </w:tc>
      </w:tr>
      <w:tr>
        <w:trPr>
          <w:trHeight w:val="12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5 832,00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5 832,00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2 794,30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2 794,30</w:t>
            </w:r>
          </w:p>
        </w:tc>
      </w:tr>
      <w:tr>
        <w:trPr>
          <w:trHeight w:val="5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2 794,30</w:t>
            </w:r>
          </w:p>
        </w:tc>
      </w:tr>
      <w:tr>
        <w:trPr>
          <w:trHeight w:val="7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2 794,30</w:t>
            </w:r>
          </w:p>
        </w:tc>
      </w:tr>
      <w:tr>
        <w:trPr>
          <w:trHeight w:val="4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 финансовыми активами: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-514</w:t>
            </w:r>
          </w:p>
        </w:tc>
      </w:tr>
      <w:tr>
        <w:trPr>
          <w:trHeight w:val="5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-6 999,30</w:t>
            </w:r>
          </w:p>
        </w:tc>
      </w:tr>
      <w:tr>
        <w:trPr>
          <w:trHeight w:val="7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6 999,30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14/101-IV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городского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2009 год с разделением на бюджетные</w:t>
      </w:r>
      <w:r>
        <w:br/>
      </w:r>
      <w:r>
        <w:rPr>
          <w:rFonts w:ascii="Times New Roman"/>
          <w:b/>
          <w:i w:val="false"/>
          <w:color w:val="000000"/>
        </w:rPr>
        <w:t>
программы, направленные на реализацию бюджетных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проектов (программ) и на формирование</w:t>
      </w:r>
      <w:r>
        <w:br/>
      </w:r>
      <w:r>
        <w:rPr>
          <w:rFonts w:ascii="Times New Roman"/>
          <w:b/>
          <w:i w:val="false"/>
          <w:color w:val="000000"/>
        </w:rPr>
        <w:t>
или увеличение уставного капитала юридических лиц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решения Курчатовского городского маслихата Восточно-Казахстанской области от 27.10.2009 N </w:t>
      </w:r>
      <w:r>
        <w:rPr>
          <w:rFonts w:ascii="Times New Roman"/>
          <w:b w:val="false"/>
          <w:i w:val="false"/>
          <w:color w:val="ff0000"/>
          <w:sz w:val="28"/>
        </w:rPr>
        <w:t>21/165-IV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1493"/>
        <w:gridCol w:w="1133"/>
        <w:gridCol w:w="8293"/>
      </w:tblGrid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инженерно–коммуникационной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14/101-IV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бюджетных программ, не</w:t>
      </w:r>
      <w:r>
        <w:br/>
      </w:r>
      <w:r>
        <w:rPr>
          <w:rFonts w:ascii="Times New Roman"/>
          <w:b/>
          <w:i w:val="false"/>
          <w:color w:val="000000"/>
        </w:rPr>
        <w:t>
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городского бюджета на 2009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1473"/>
        <w:gridCol w:w="2193"/>
        <w:gridCol w:w="6953"/>
      </w:tblGrid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Т. ЕЛЬНИКОВА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