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9f5" w14:textId="128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февраля 2008 года N 6-10. Зарегистрировано Департаментом юстиции Западно-Казахстанской области 3 марта 2008 года за N 3002. Утратило силу - решением Западно-Казахстанского областного маслихата от 11 февраля 2009 года N 11-15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- Решением Западно-Казахстанского областного маслихата от 11.02.2009 N 11-15.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заготовку второстепенных лесных материалов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сенокошение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пользование участками лесного фонда для нужд охотничьего хозяйства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пользование участками лесного фонда для культурно-оздоровительных, рекреационных, туристических и спортивных целей (приложение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пользование особо охраняемыми природными территориями местного значения Западно-Казахстанской области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Средства, поступившие от платежей за лесные пользования, направлять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Западно-Казахстанского областного маслихата от 16.05.2008 </w:t>
      </w:r>
      <w:r>
        <w:rPr>
          <w:rFonts w:ascii="Times New Roman"/>
          <w:b w:val="false"/>
          <w:i w:val="false"/>
          <w:color w:val="000000"/>
          <w:sz w:val="28"/>
        </w:rPr>
        <w:t>N 7-5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6-10 от 26 февраля 2008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</w:t>
      </w:r>
      <w:r>
        <w:br/>
      </w:r>
      <w:r>
        <w:rPr>
          <w:rFonts w:ascii="Times New Roman"/>
          <w:b/>
          <w:i w:val="false"/>
          <w:color w:val="000000"/>
        </w:rPr>
        <w:t>
за заготовку второстепенных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лесных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427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  платы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  метел, материалов для плетения (хворост)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тенге за 1 м3 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веников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(хворост  береза)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(хворост  дуба)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тенге за 1 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тенге за 1 м3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от 26 февраля 2008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за сенокошение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473"/>
        <w:gridCol w:w="431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  сенокошение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сенокошение с га площади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тенге с 1 га участка лесной площади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от 26 февраля 2008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лесного фонда</w:t>
      </w:r>
      <w:r>
        <w:br/>
      </w:r>
      <w:r>
        <w:rPr>
          <w:rFonts w:ascii="Times New Roman"/>
          <w:b/>
          <w:i w:val="false"/>
          <w:color w:val="000000"/>
        </w:rPr>
        <w:t>
для нужд 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579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нужд охотничьего хозяйства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нужд охотничьего хозяйства с га площади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тенге с 1 га участка  лесной площади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от 26 февраля 2008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лесного фонда</w:t>
      </w:r>
      <w:r>
        <w:br/>
      </w:r>
      <w:r>
        <w:rPr>
          <w:rFonts w:ascii="Times New Roman"/>
          <w:b/>
          <w:i w:val="false"/>
          <w:color w:val="000000"/>
        </w:rPr>
        <w:t>
для культурно-оздоровительных, рекреационных,</w:t>
      </w:r>
      <w:r>
        <w:br/>
      </w:r>
      <w:r>
        <w:rPr>
          <w:rFonts w:ascii="Times New Roman"/>
          <w:b/>
          <w:i w:val="false"/>
          <w:color w:val="000000"/>
        </w:rPr>
        <w:t>
туристских и спортивных целей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1773"/>
        <w:gridCol w:w="3973"/>
      </w:tblGrid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затрат на 1 га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культурно- оздоровительных, рекреационных и спортивных целей 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  лесного фонда для культурно- оздоровительных, рекреационных и спортивных целей с га площади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тенге с 1 га участка лесной площади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6-10 от 26 февраля 2008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особо охраняемыми</w:t>
      </w:r>
      <w:r>
        <w:br/>
      </w:r>
      <w:r>
        <w:rPr>
          <w:rFonts w:ascii="Times New Roman"/>
          <w:b/>
          <w:i w:val="false"/>
          <w:color w:val="000000"/>
        </w:rPr>
        <w:t>
природными территориями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633"/>
        <w:gridCol w:w="1973"/>
        <w:gridCol w:w="22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  использования особо охраняемых природных территорий местного значения физическими и юридическими лицами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в месячных расчетных показателях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научных целях (проведение научных  исследований)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культурно-просветительных и учебных целях: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показ объектов неживой природы, растений и животных,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учебных  экскурсий и занятий, производственных практик учащихся и студентов;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человеко-день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туристических и рекреационных целях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особо охраняемых природных территорий в целях, указанных в  пунктах 1, 2, 3 настоящих ставок платы, юридическими лицами в форме государственного учреждения, определенными статьей 19 Закона Республики Казахстан «Об особо охраняемых природных  территориях»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