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85d5" w14:textId="ce38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мониторинга сделок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февраля 2009 года № 62. Зарегистрирован в Министерстве юстиции Республики Казахстан 12 марта 2009 года № 5589. Утратил силу приказом Министра финансов Республики Казахстан от 9 января 2012 года № 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09.01.2012 </w:t>
      </w:r>
      <w:r>
        <w:rPr>
          <w:rFonts w:ascii="Times New Roman"/>
          <w:b w:val="false"/>
          <w:i w:val="false"/>
          <w:color w:val="ff0000"/>
          <w:sz w:val="28"/>
        </w:rPr>
        <w:t>№ 6</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 Закона Республики Казахстан от 5 июля 2008 года "О трансфертном ценообразовании"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осуществления мониторинга сделок. </w:t>
      </w:r>
      <w:r>
        <w:br/>
      </w:r>
      <w:r>
        <w:rPr>
          <w:rFonts w:ascii="Times New Roman"/>
          <w:b w:val="false"/>
          <w:i w:val="false"/>
          <w:color w:val="000000"/>
          <w:sz w:val="28"/>
        </w:rPr>
        <w:t>
</w:t>
      </w:r>
      <w:r>
        <w:rPr>
          <w:rFonts w:ascii="Times New Roman"/>
          <w:b w:val="false"/>
          <w:i w:val="false"/>
          <w:color w:val="000000"/>
          <w:sz w:val="28"/>
        </w:rPr>
        <w:t xml:space="preserve">
      2. Налоговому комитету Министерства финансов Республики Казахстан (Ергожин Д.Е.)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Председателя Налогового комитета Министерства финансов Республики Казахстан (Ергожина Д.Е.) и Председателя Комитета таможенного контроля Министерства финансов Республики Казахстан (Карбузов К-К. Ж.).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со дня его первого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Жамишев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2009 года № 62 </w:t>
      </w:r>
    </w:p>
    <w:bookmarkStart w:name="z6" w:id="2"/>
    <w:p>
      <w:pPr>
        <w:spacing w:after="0"/>
        <w:ind w:left="0"/>
        <w:jc w:val="left"/>
      </w:pPr>
      <w:r>
        <w:rPr>
          <w:rFonts w:ascii="Times New Roman"/>
          <w:b/>
          <w:i w:val="false"/>
          <w:color w:val="000000"/>
        </w:rPr>
        <w:t xml:space="preserve"> 
Правила осуществления мониторинга сделок </w:t>
      </w:r>
    </w:p>
    <w:bookmarkEnd w:id="2"/>
    <w:bookmarkStart w:name="z7" w:id="3"/>
    <w:p>
      <w:pPr>
        <w:spacing w:after="0"/>
        <w:ind w:left="0"/>
        <w:jc w:val="left"/>
      </w:pPr>
      <w:r>
        <w:rPr>
          <w:rFonts w:ascii="Times New Roman"/>
          <w:b/>
          <w:i w:val="false"/>
          <w:color w:val="000000"/>
        </w:rPr>
        <w:t xml:space="preserve"> 
1. Общие положения </w:t>
      </w:r>
    </w:p>
    <w:bookmarkEnd w:id="3"/>
    <w:bookmarkStart w:name="z8" w:id="4"/>
    <w:p>
      <w:pPr>
        <w:spacing w:after="0"/>
        <w:ind w:left="0"/>
        <w:jc w:val="both"/>
      </w:pPr>
      <w:r>
        <w:rPr>
          <w:rFonts w:ascii="Times New Roman"/>
          <w:b w:val="false"/>
          <w:i w:val="false"/>
          <w:color w:val="000000"/>
          <w:sz w:val="28"/>
        </w:rPr>
        <w:t>
      1. Настоящие Правила осуществления мониторинга сделок (далее - Правила) разработаны в соответствии со статьями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5 июля 2008 года "О трансфертном ценообразовании" (далее - Закон), и определяют порядок заполнения участником сделки форм отчетности по мониторингу сделок и их представления в уполномоченные органы, а также порядок ведения документации по мониторингу сделок участниками сделок, в том числе осуществляющими сделки с товарами, которые не подлежат мониторингу сделок.</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Мониторинг сделок осуществляется путем наблюдения уполномоченными органами за ценами, применяемыми участниками сделок и сбора от налогоплательщиков, подлежащих мониторингу в соответствии со </w:t>
      </w:r>
      <w:r>
        <w:rPr>
          <w:rFonts w:ascii="Times New Roman"/>
          <w:b w:val="false"/>
          <w:i w:val="false"/>
          <w:color w:val="000000"/>
          <w:sz w:val="28"/>
        </w:rPr>
        <w:t>статьей 623</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информации по международным деловым операциям, согласно перечню товаров (работ, услуг), международные деловые операции по которым подлежат мониторингу сделок,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2009 года № 293.</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Заполненные формы отчетности по мониторингу сделок "Экспорт товаров (работ, услуг)" и "Импорт товаров (работ, услуг)" предоставляются в Налоговый комитет Министерства финансов Республики Казахстан (далее – Налоговый комитет) в электронном виде в формате Excel с подтверждением на бумажном носителе в соответствии со сроком, указанным в пункте 13 настоящих Правил.</w:t>
      </w:r>
      <w:r>
        <w:br/>
      </w:r>
      <w:r>
        <w:rPr>
          <w:rFonts w:ascii="Times New Roman"/>
          <w:b w:val="false"/>
          <w:i w:val="false"/>
          <w:color w:val="000000"/>
          <w:sz w:val="28"/>
        </w:rPr>
        <w:t>
</w:t>
      </w:r>
      <w:r>
        <w:rPr>
          <w:rFonts w:ascii="Times New Roman"/>
          <w:b w:val="false"/>
          <w:i w:val="false"/>
          <w:color w:val="000000"/>
          <w:sz w:val="28"/>
        </w:rPr>
        <w:t>
      Формы отчетности по мониторингу сделок "Экспорт товаров (работ, услуг)" и "Импорт товаров (работ, услуг)", представляемые участниками сделок на бумажном носителе, подписываются руководителем и главным бухгалтером, а также заверяются печатью.</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После внедрения соответствующего программного обеспечения отчетность по мониторингу сделок участниками сделок представляется через систему передачи данных.</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Налоговый комитет в течение пяти календарных дней с момента внедрения программного обеспечения опубликовывает на портале www.salyk.kz соответствующую информацию о внедрении программного обеспечения, необходимого для представления отчетности по мониторингу сделок участниками сделок.</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База данных формируется на основе отчетности по мониторингу сделок, составляемой по формам отчетности по мониторингу сделок "Экспорт товаров (работ, услуг)" и "Импорт товаров (работ, услуг)"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Программное обеспечение по заполнению форм отчетности по мониторингу сделок выполняет функцию приведения заполненных форм отчетности участников сделки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Электронная система передачи данных представляет собой способ доставки заполненных форм отчетности по мониторингу сделок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Формы отчетности по мониторингу сделок и программное обеспечение по их заполнению размещаются на портале Налогового комитета www.salyk.kz.</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 В случае если последний день срока предоставления форм отчетности по мониторингу сделок приходится на нерабочий день, сроком предоставления является следующий рабочий день. </w:t>
      </w:r>
      <w:r>
        <w:br/>
      </w:r>
      <w:r>
        <w:rPr>
          <w:rFonts w:ascii="Times New Roman"/>
          <w:b w:val="false"/>
          <w:i w:val="false"/>
          <w:color w:val="000000"/>
          <w:sz w:val="28"/>
        </w:rPr>
        <w:t>
</w:t>
      </w:r>
      <w:r>
        <w:rPr>
          <w:rFonts w:ascii="Times New Roman"/>
          <w:b w:val="false"/>
          <w:i w:val="false"/>
          <w:color w:val="000000"/>
          <w:sz w:val="28"/>
        </w:rPr>
        <w:t>
      11. При отсутствии в отчетном периоде международных деловых операций у участников сделок, определенных в пункте 2 настоящих Правил, формы отчетности по мониторингу сделок "Экспорт товаров (работ, услуг)" и "Импорт товаров (работ, услуг)" такими участниками сделок предоставляются в Налоговый комитет без заполнения соответствующих граф.</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4"/>
    <w:bookmarkStart w:name="z20" w:id="5"/>
    <w:p>
      <w:pPr>
        <w:spacing w:after="0"/>
        <w:ind w:left="0"/>
        <w:jc w:val="left"/>
      </w:pPr>
      <w:r>
        <w:rPr>
          <w:rFonts w:ascii="Times New Roman"/>
          <w:b/>
          <w:i w:val="false"/>
          <w:color w:val="000000"/>
        </w:rPr>
        <w:t xml:space="preserve"> 
2. Порядок осуществления мониторинга сделок </w:t>
      </w:r>
      <w:r>
        <w:br/>
      </w:r>
      <w:r>
        <w:rPr>
          <w:rFonts w:ascii="Times New Roman"/>
          <w:b/>
          <w:i w:val="false"/>
          <w:color w:val="000000"/>
        </w:rPr>
        <w:t xml:space="preserve">
уполномоченными органами </w:t>
      </w:r>
    </w:p>
    <w:bookmarkEnd w:id="5"/>
    <w:bookmarkStart w:name="z21" w:id="6"/>
    <w:p>
      <w:pPr>
        <w:spacing w:after="0"/>
        <w:ind w:left="0"/>
        <w:jc w:val="both"/>
      </w:pPr>
      <w:r>
        <w:rPr>
          <w:rFonts w:ascii="Times New Roman"/>
          <w:b w:val="false"/>
          <w:i w:val="false"/>
          <w:color w:val="000000"/>
          <w:sz w:val="28"/>
        </w:rPr>
        <w:t>
      12. Органы налоговой службы осуществляют мониторинг сделок международных деловых операций по товарам (работам, услугам)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 xml:space="preserve">Закона. </w:t>
      </w:r>
      <w:r>
        <w:br/>
      </w:r>
      <w:r>
        <w:rPr>
          <w:rFonts w:ascii="Times New Roman"/>
          <w:b w:val="false"/>
          <w:i w:val="false"/>
          <w:color w:val="000000"/>
          <w:sz w:val="28"/>
        </w:rPr>
        <w:t>
</w:t>
      </w:r>
      <w:r>
        <w:rPr>
          <w:rFonts w:ascii="Times New Roman"/>
          <w:b w:val="false"/>
          <w:i w:val="false"/>
          <w:color w:val="000000"/>
          <w:sz w:val="28"/>
        </w:rPr>
        <w:t>
      13. Участники сделок по товарам (работам, услугам), международные деловые операции по которым подлежат мониторингу сделок, предоставляют отчетность по мониторингу сделок в Налоговый комитет не позднее 15 мая года, следующего за отчетным, в соответствии с порядком и формами, определенными главой 3 настоящих Правил. Отчетным периодом является календарный год.</w:t>
      </w:r>
      <w:r>
        <w:br/>
      </w:r>
      <w:r>
        <w:rPr>
          <w:rFonts w:ascii="Times New Roman"/>
          <w:b w:val="false"/>
          <w:i w:val="false"/>
          <w:color w:val="000000"/>
          <w:sz w:val="28"/>
        </w:rPr>
        <w:t>
</w:t>
      </w:r>
      <w:r>
        <w:rPr>
          <w:rFonts w:ascii="Times New Roman"/>
          <w:b w:val="false"/>
          <w:i w:val="false"/>
          <w:color w:val="000000"/>
          <w:sz w:val="28"/>
        </w:rPr>
        <w:t>
      В случае продления срока предоставления налоговой отчетности по корпоративному подоходному налогу срок предоставления отчетности по мониторингу сделок продлевается до срока предоставления указанной налоговой отчетности по корпоративному подоходному налогу.</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14. При необходимости Налоговый комитет запрашивает у участника сделки расшифровку (подтверждающие документы) по представленным формам отчетности по мониторингу сделок. </w:t>
      </w:r>
      <w:r>
        <w:br/>
      </w:r>
      <w:r>
        <w:rPr>
          <w:rFonts w:ascii="Times New Roman"/>
          <w:b w:val="false"/>
          <w:i w:val="false"/>
          <w:color w:val="000000"/>
          <w:sz w:val="28"/>
        </w:rPr>
        <w:t>
</w:t>
      </w:r>
      <w:r>
        <w:rPr>
          <w:rFonts w:ascii="Times New Roman"/>
          <w:b w:val="false"/>
          <w:i w:val="false"/>
          <w:color w:val="000000"/>
          <w:sz w:val="28"/>
        </w:rPr>
        <w:t>
      15. Участник сделки представляет в Налоговый комитет расшифровку (подтверждающие документы) в течение тридцати календарных дней с момента получения запроса.</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w:t>
      </w:r>
      <w:r>
        <w:rPr>
          <w:rFonts w:ascii="Times New Roman"/>
          <w:b w:val="false"/>
          <w:i w:val="false"/>
          <w:color w:val="ff0000"/>
          <w:sz w:val="28"/>
        </w:rPr>
        <w:t xml:space="preserve"> 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По результатам мониторинга сделок в случае установления отклонения цены сделки от рыночной цены уполномоченные органы направляют участнику сделки письмо о наличии отклонения цены сделки от рыночной цены для предоставления информации, подтверждающей применяемую цену и (или) самостоятельную корректировку объектов налогообложения, а также объектов, связанных с налогообложением.</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18. Участники сделок вносят корректировки в представленные формы отчетности по мониторингу сделок до начала проведения проверки по вопросам трансфертного ценообразования. </w:t>
      </w:r>
    </w:p>
    <w:bookmarkEnd w:id="6"/>
    <w:bookmarkStart w:name="z29" w:id="7"/>
    <w:p>
      <w:pPr>
        <w:spacing w:after="0"/>
        <w:ind w:left="0"/>
        <w:jc w:val="left"/>
      </w:pPr>
      <w:r>
        <w:rPr>
          <w:rFonts w:ascii="Times New Roman"/>
          <w:b/>
          <w:i w:val="false"/>
          <w:color w:val="000000"/>
        </w:rPr>
        <w:t xml:space="preserve"> 
3. Порядок заполнения форм отчетности по мониторингу сделок</w:t>
      </w:r>
    </w:p>
    <w:bookmarkEnd w:id="7"/>
    <w:p>
      <w:pPr>
        <w:spacing w:after="0"/>
        <w:ind w:left="0"/>
        <w:jc w:val="both"/>
      </w:pPr>
      <w:r>
        <w:rPr>
          <w:rFonts w:ascii="Times New Roman"/>
          <w:b w:val="false"/>
          <w:i w:val="false"/>
          <w:color w:val="ff0000"/>
          <w:sz w:val="28"/>
        </w:rPr>
        <w:t xml:space="preserve">      Сноска. Наименование главы в редакции приказа Министра финансов РК от 09.06.2011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30" w:id="8"/>
    <w:p>
      <w:pPr>
        <w:spacing w:after="0"/>
        <w:ind w:left="0"/>
        <w:jc w:val="both"/>
      </w:pPr>
      <w:r>
        <w:rPr>
          <w:rFonts w:ascii="Times New Roman"/>
          <w:b w:val="false"/>
          <w:i w:val="false"/>
          <w:color w:val="000000"/>
          <w:sz w:val="28"/>
        </w:rPr>
        <w:t>
      19. Отчетность по мониторингу сделок "Экспорт товаров (работ,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заполняется по мере отгрузки товара, выполнения работ, предоставления услуг, связанных с реализацией на экспорт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превышать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"РНН" указывается регистрационный номер налогоплательщика-отправителя. Графа подлежит обязательному заполнению при представлении отчетности до 1 января 2012 года.</w:t>
      </w:r>
      <w:r>
        <w:br/>
      </w:r>
      <w:r>
        <w:rPr>
          <w:rFonts w:ascii="Times New Roman"/>
          <w:b w:val="false"/>
          <w:i w:val="false"/>
          <w:color w:val="000000"/>
          <w:sz w:val="28"/>
        </w:rPr>
        <w:t>
</w:t>
      </w:r>
      <w:r>
        <w:rPr>
          <w:rFonts w:ascii="Times New Roman"/>
          <w:b w:val="false"/>
          <w:i w:val="false"/>
          <w:color w:val="000000"/>
          <w:sz w:val="28"/>
        </w:rPr>
        <w:t>
      В графе 2-1 "ИИН (БИН)" указывается индивидуальный идентификационный номер (бизнес идентификационный номер) налогоплательщика – отправителя. Графа подлежит обязательному заполнению при представлении отчетности с 1 января 2012 года.</w:t>
      </w:r>
      <w:r>
        <w:br/>
      </w:r>
      <w:r>
        <w:rPr>
          <w:rFonts w:ascii="Times New Roman"/>
          <w:b w:val="false"/>
          <w:i w:val="false"/>
          <w:color w:val="000000"/>
          <w:sz w:val="28"/>
        </w:rPr>
        <w:t>
</w:t>
      </w:r>
      <w:r>
        <w:rPr>
          <w:rFonts w:ascii="Times New Roman"/>
          <w:b w:val="false"/>
          <w:i w:val="false"/>
          <w:color w:val="000000"/>
          <w:sz w:val="28"/>
        </w:rPr>
        <w:t>
      В графе 3 "Наименование отправителя (экспортера)" указывается полное наименование юридического лица (отправителя) с указанием его организационно-правовой формы.</w:t>
      </w:r>
      <w:r>
        <w:br/>
      </w:r>
      <w:r>
        <w:rPr>
          <w:rFonts w:ascii="Times New Roman"/>
          <w:b w:val="false"/>
          <w:i w:val="false"/>
          <w:color w:val="000000"/>
          <w:sz w:val="28"/>
        </w:rPr>
        <w:t>
</w:t>
      </w:r>
      <w:r>
        <w:rPr>
          <w:rFonts w:ascii="Times New Roman"/>
          <w:b w:val="false"/>
          <w:i w:val="false"/>
          <w:color w:val="000000"/>
          <w:sz w:val="28"/>
        </w:rPr>
        <w:t>
      В графе 4 "Налоговый период" указывается период, за который сдается отчетность по мониторингу сделок.</w:t>
      </w:r>
      <w:r>
        <w:br/>
      </w:r>
      <w:r>
        <w:rPr>
          <w:rFonts w:ascii="Times New Roman"/>
          <w:b w:val="false"/>
          <w:i w:val="false"/>
          <w:color w:val="000000"/>
          <w:sz w:val="28"/>
        </w:rPr>
        <w:t>
</w:t>
      </w:r>
      <w:r>
        <w:rPr>
          <w:rFonts w:ascii="Times New Roman"/>
          <w:b w:val="false"/>
          <w:i w:val="false"/>
          <w:color w:val="000000"/>
          <w:sz w:val="28"/>
        </w:rPr>
        <w:t>
      В графах 5 и 6 "Дата декларации на товары (Заявления)" и "№ декларации на товары (Заявления)" указываются дата и номер декларации на товары или дата и номер Заявления о ввозе товаров и уплате косвенных налогов (далее - Заявление). При этом дата и номер Заявления указываются в случаях внешнеэкономической деятельности с государствами-членами таможенного союза.</w:t>
      </w:r>
      <w:r>
        <w:br/>
      </w:r>
      <w:r>
        <w:rPr>
          <w:rFonts w:ascii="Times New Roman"/>
          <w:b w:val="false"/>
          <w:i w:val="false"/>
          <w:color w:val="000000"/>
          <w:sz w:val="28"/>
        </w:rPr>
        <w:t>
</w:t>
      </w:r>
      <w:r>
        <w:rPr>
          <w:rFonts w:ascii="Times New Roman"/>
          <w:b w:val="false"/>
          <w:i w:val="false"/>
          <w:color w:val="000000"/>
          <w:sz w:val="28"/>
        </w:rPr>
        <w:t>
      В графе 7 "Код ТН ВЭД ТС" указывается код Товарной номенклатуры внешнеэкономической деятельности таможенного союза.</w:t>
      </w:r>
      <w:r>
        <w:br/>
      </w:r>
      <w:r>
        <w:rPr>
          <w:rFonts w:ascii="Times New Roman"/>
          <w:b w:val="false"/>
          <w:i w:val="false"/>
          <w:color w:val="000000"/>
          <w:sz w:val="28"/>
        </w:rPr>
        <w:t>
</w:t>
      </w:r>
      <w:r>
        <w:rPr>
          <w:rFonts w:ascii="Times New Roman"/>
          <w:b w:val="false"/>
          <w:i w:val="false"/>
          <w:color w:val="000000"/>
          <w:sz w:val="28"/>
        </w:rPr>
        <w:t>
      В графе 8 "Наименование товара (работы, услуги)" отражается наименование экспортируемых товаров (работ, услуг).</w:t>
      </w:r>
      <w:r>
        <w:br/>
      </w:r>
      <w:r>
        <w:rPr>
          <w:rFonts w:ascii="Times New Roman"/>
          <w:b w:val="false"/>
          <w:i w:val="false"/>
          <w:color w:val="000000"/>
          <w:sz w:val="28"/>
        </w:rPr>
        <w:t>
</w:t>
      </w:r>
      <w:r>
        <w:rPr>
          <w:rFonts w:ascii="Times New Roman"/>
          <w:b w:val="false"/>
          <w:i w:val="false"/>
          <w:color w:val="000000"/>
          <w:sz w:val="28"/>
        </w:rPr>
        <w:t>
      В графе 9 "Качественные характеристики товара (работы, услуги)" указываются качество товара (работы, услуги) в случае наличия такого условия.</w:t>
      </w:r>
      <w:r>
        <w:br/>
      </w:r>
      <w:r>
        <w:rPr>
          <w:rFonts w:ascii="Times New Roman"/>
          <w:b w:val="false"/>
          <w:i w:val="false"/>
          <w:color w:val="000000"/>
          <w:sz w:val="28"/>
        </w:rPr>
        <w:t>
</w:t>
      </w:r>
      <w:r>
        <w:rPr>
          <w:rFonts w:ascii="Times New Roman"/>
          <w:b w:val="false"/>
          <w:i w:val="false"/>
          <w:color w:val="000000"/>
          <w:sz w:val="28"/>
        </w:rPr>
        <w:t>
      Качество товара (работы, услуги) представляет собой совокупность свойств, характеристик, указанных в сертификате качества (соответствия) товара (работы, услуги) и, обуславливающих их пригодность удовлетворять определенные потребности в соответствии с их назначением. Свойство - объективная особенность товара (работы, услуги), проявляющаяся при ее создании, оценке, хранении и потреблении (эксплуатации). Показатель качества - количественное и качественное выражение свойств товара (работы, услуги). Показатели качества являются физическими или нефизическими величинами. Физические величины (длина, масса, плотность и другие) могут измеряться количественно и качественно. Наименование показателя служит качественной характеристикой товара (например, массовая доля сахара в соке, длина хлопкового волокна). Единичные показатели - показатели, предназначенные для выражения простых свойств товара. К ним относятся цвет, форма, целостность, кислотность и другие.</w:t>
      </w:r>
      <w:r>
        <w:br/>
      </w:r>
      <w:r>
        <w:rPr>
          <w:rFonts w:ascii="Times New Roman"/>
          <w:b w:val="false"/>
          <w:i w:val="false"/>
          <w:color w:val="000000"/>
          <w:sz w:val="28"/>
        </w:rPr>
        <w:t>
</w:t>
      </w:r>
      <w:r>
        <w:rPr>
          <w:rFonts w:ascii="Times New Roman"/>
          <w:b w:val="false"/>
          <w:i w:val="false"/>
          <w:color w:val="000000"/>
          <w:sz w:val="28"/>
        </w:rPr>
        <w:t>
      В графе 10 "Репутация на рынке товаров (работ, услуг)" указывается информация о репутации на рынке, представляющей собой устойчивое мнение о достоинствах и недостатках организации в деловом мире (в определенном сегменте рынка). Информация о репутации на рынке товаров (работ, услуг) складывается из таких показателей, как качество товара (работы, услуги), устойчивость финансового положения, доля рынка, доступность информации о компании, ее публичность и известность, и другие.</w:t>
      </w:r>
      <w:r>
        <w:br/>
      </w:r>
      <w:r>
        <w:rPr>
          <w:rFonts w:ascii="Times New Roman"/>
          <w:b w:val="false"/>
          <w:i w:val="false"/>
          <w:color w:val="000000"/>
          <w:sz w:val="28"/>
        </w:rPr>
        <w:t>
</w:t>
      </w:r>
      <w:r>
        <w:rPr>
          <w:rFonts w:ascii="Times New Roman"/>
          <w:b w:val="false"/>
          <w:i w:val="false"/>
          <w:color w:val="000000"/>
          <w:sz w:val="28"/>
        </w:rPr>
        <w:t>
      В графе 11 "Страна отправления товара" указывается страна, из которой экспортируется товар, выполняются работы, оказываются услуги.</w:t>
      </w:r>
      <w:r>
        <w:br/>
      </w:r>
      <w:r>
        <w:rPr>
          <w:rFonts w:ascii="Times New Roman"/>
          <w:b w:val="false"/>
          <w:i w:val="false"/>
          <w:color w:val="000000"/>
          <w:sz w:val="28"/>
        </w:rPr>
        <w:t>
</w:t>
      </w:r>
      <w:r>
        <w:rPr>
          <w:rFonts w:ascii="Times New Roman"/>
          <w:b w:val="false"/>
          <w:i w:val="false"/>
          <w:color w:val="000000"/>
          <w:sz w:val="28"/>
        </w:rPr>
        <w:t>
      В графе 12 "Вид транспортировки" указываются виды транспортов (железнодорожный, воздушный и другие), используемых для экспорта товара.</w:t>
      </w:r>
      <w:r>
        <w:br/>
      </w:r>
      <w:r>
        <w:rPr>
          <w:rFonts w:ascii="Times New Roman"/>
          <w:b w:val="false"/>
          <w:i w:val="false"/>
          <w:color w:val="000000"/>
          <w:sz w:val="28"/>
        </w:rPr>
        <w:t>
</w:t>
      </w:r>
      <w:r>
        <w:rPr>
          <w:rFonts w:ascii="Times New Roman"/>
          <w:b w:val="false"/>
          <w:i w:val="false"/>
          <w:color w:val="000000"/>
          <w:sz w:val="28"/>
        </w:rPr>
        <w:t>
      В графе 13 "Страна происхождения товара (работы, услуги)" указывается страна, в которой произведен товар (работа, услуга),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14 "Производитель товара (работы, услуги)" указывается производитель товара (работы, услуги)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15 "Наличие товарного знака (торговой марки, бренда)" указывается наличие товарного знака (торговой марки, бренда)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16 "Условия поставки товара" (работы, услуги)" указываются условия поставки товара (работы, услуги) согласно Инкотермс 2000.</w:t>
      </w:r>
      <w:r>
        <w:br/>
      </w:r>
      <w:r>
        <w:rPr>
          <w:rFonts w:ascii="Times New Roman"/>
          <w:b w:val="false"/>
          <w:i w:val="false"/>
          <w:color w:val="000000"/>
          <w:sz w:val="28"/>
        </w:rPr>
        <w:t>
</w:t>
      </w:r>
      <w:r>
        <w:rPr>
          <w:rFonts w:ascii="Times New Roman"/>
          <w:b w:val="false"/>
          <w:i w:val="false"/>
          <w:color w:val="000000"/>
          <w:sz w:val="28"/>
        </w:rPr>
        <w:t>
      В графах 17 и 18 "Дата и место отгрузки товара (работы, услуги)" указывается дата и место отгрузки товара (работы, услуги).</w:t>
      </w:r>
      <w:r>
        <w:br/>
      </w:r>
      <w:r>
        <w:rPr>
          <w:rFonts w:ascii="Times New Roman"/>
          <w:b w:val="false"/>
          <w:i w:val="false"/>
          <w:color w:val="000000"/>
          <w:sz w:val="28"/>
        </w:rPr>
        <w:t>
</w:t>
      </w:r>
      <w:r>
        <w:rPr>
          <w:rFonts w:ascii="Times New Roman"/>
          <w:b w:val="false"/>
          <w:i w:val="false"/>
          <w:color w:val="000000"/>
          <w:sz w:val="28"/>
        </w:rPr>
        <w:t>
      В графе 19 "Страна назначения товара (работы, услуги)" указывается страна назначения товара (работы, услуги).</w:t>
      </w:r>
      <w:r>
        <w:br/>
      </w:r>
      <w:r>
        <w:rPr>
          <w:rFonts w:ascii="Times New Roman"/>
          <w:b w:val="false"/>
          <w:i w:val="false"/>
          <w:color w:val="000000"/>
          <w:sz w:val="28"/>
        </w:rPr>
        <w:t>
</w:t>
      </w:r>
      <w:r>
        <w:rPr>
          <w:rFonts w:ascii="Times New Roman"/>
          <w:b w:val="false"/>
          <w:i w:val="false"/>
          <w:color w:val="000000"/>
          <w:sz w:val="28"/>
        </w:rPr>
        <w:t>
      В графе 20 "Пункт доставки товара (работы, услуги)" указывается пункт доставки товара (работы, услуги).</w:t>
      </w:r>
      <w:r>
        <w:br/>
      </w:r>
      <w:r>
        <w:rPr>
          <w:rFonts w:ascii="Times New Roman"/>
          <w:b w:val="false"/>
          <w:i w:val="false"/>
          <w:color w:val="000000"/>
          <w:sz w:val="28"/>
        </w:rPr>
        <w:t>
</w:t>
      </w:r>
      <w:r>
        <w:rPr>
          <w:rFonts w:ascii="Times New Roman"/>
          <w:b w:val="false"/>
          <w:i w:val="false"/>
          <w:color w:val="000000"/>
          <w:sz w:val="28"/>
        </w:rPr>
        <w:t>
      В графах 21 и 22 "Наименование покупателя" и "Юридический адрес покупателя" указывается фамилия, имя, отчество физического лица или наименование юридического лица-получателя товара (работы, услуги) и юридический адрес покупателя.</w:t>
      </w:r>
      <w:r>
        <w:br/>
      </w:r>
      <w:r>
        <w:rPr>
          <w:rFonts w:ascii="Times New Roman"/>
          <w:b w:val="false"/>
          <w:i w:val="false"/>
          <w:color w:val="000000"/>
          <w:sz w:val="28"/>
        </w:rPr>
        <w:t>
</w:t>
      </w:r>
      <w:r>
        <w:rPr>
          <w:rFonts w:ascii="Times New Roman"/>
          <w:b w:val="false"/>
          <w:i w:val="false"/>
          <w:color w:val="000000"/>
          <w:sz w:val="28"/>
        </w:rPr>
        <w:t>
      В графе 23 "Страна регистрации покупателя" указывается страна регистрации покупателя.</w:t>
      </w:r>
      <w:r>
        <w:br/>
      </w:r>
      <w:r>
        <w:rPr>
          <w:rFonts w:ascii="Times New Roman"/>
          <w:b w:val="false"/>
          <w:i w:val="false"/>
          <w:color w:val="000000"/>
          <w:sz w:val="28"/>
        </w:rPr>
        <w:t>
</w:t>
      </w:r>
      <w:r>
        <w:rPr>
          <w:rFonts w:ascii="Times New Roman"/>
          <w:b w:val="false"/>
          <w:i w:val="false"/>
          <w:color w:val="000000"/>
          <w:sz w:val="28"/>
        </w:rPr>
        <w:t>
      В графе 24 "Торгующая страна" проставляется цифровой код торгующей страны товара (работы, услуги) в соответствии с Классификатором стран мира,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Под торгующей страной понимается страна, где зарегистрировано или постоянно проживает лицо, с которым участник сделки заключил контракт (договор), в соответствии с которым товары перемещаются через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В графе 25 "Информация о взаимосвязанности сторон (продавца и покупателя)" указывается информация о взаимосвязанности сторон (продавца и покупателя)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графах 26 и 27 "Дата и № контракта (договора)" указываются дата и номер контракта (договора).</w:t>
      </w:r>
      <w:r>
        <w:br/>
      </w:r>
      <w:r>
        <w:rPr>
          <w:rFonts w:ascii="Times New Roman"/>
          <w:b w:val="false"/>
          <w:i w:val="false"/>
          <w:color w:val="000000"/>
          <w:sz w:val="28"/>
        </w:rPr>
        <w:t>
</w:t>
      </w:r>
      <w:r>
        <w:rPr>
          <w:rFonts w:ascii="Times New Roman"/>
          <w:b w:val="false"/>
          <w:i w:val="false"/>
          <w:color w:val="000000"/>
          <w:sz w:val="28"/>
        </w:rPr>
        <w:t>
      В графе 28 "Дата и № счета-фактуры" указываются дата и № счета-фактуры.</w:t>
      </w:r>
      <w:r>
        <w:br/>
      </w:r>
      <w:r>
        <w:rPr>
          <w:rFonts w:ascii="Times New Roman"/>
          <w:b w:val="false"/>
          <w:i w:val="false"/>
          <w:color w:val="000000"/>
          <w:sz w:val="28"/>
        </w:rPr>
        <w:t>
</w:t>
      </w:r>
      <w:r>
        <w:rPr>
          <w:rFonts w:ascii="Times New Roman"/>
          <w:b w:val="false"/>
          <w:i w:val="false"/>
          <w:color w:val="000000"/>
          <w:sz w:val="28"/>
        </w:rPr>
        <w:t>
      В графе 29 "Единица измерения товара" указываются единица измерения товара (штуки, килограммы, тонны, метры, кубометры, литры, кВТ и другие единицы измерения, применяемые в Республике Казахстан).</w:t>
      </w:r>
      <w:r>
        <w:br/>
      </w:r>
      <w:r>
        <w:rPr>
          <w:rFonts w:ascii="Times New Roman"/>
          <w:b w:val="false"/>
          <w:i w:val="false"/>
          <w:color w:val="000000"/>
          <w:sz w:val="28"/>
        </w:rPr>
        <w:t>
</w:t>
      </w:r>
      <w:r>
        <w:rPr>
          <w:rFonts w:ascii="Times New Roman"/>
          <w:b w:val="false"/>
          <w:i w:val="false"/>
          <w:color w:val="000000"/>
          <w:sz w:val="28"/>
        </w:rPr>
        <w:t>
      В графе 30 "Объем реализации товара" указывается объем фактически произведенного экспорта товара в единицах измерения, указанных в графе 29.</w:t>
      </w:r>
      <w:r>
        <w:br/>
      </w:r>
      <w:r>
        <w:rPr>
          <w:rFonts w:ascii="Times New Roman"/>
          <w:b w:val="false"/>
          <w:i w:val="false"/>
          <w:color w:val="000000"/>
          <w:sz w:val="28"/>
        </w:rPr>
        <w:t>
</w:t>
      </w:r>
      <w:r>
        <w:rPr>
          <w:rFonts w:ascii="Times New Roman"/>
          <w:b w:val="false"/>
          <w:i w:val="false"/>
          <w:color w:val="000000"/>
          <w:sz w:val="28"/>
        </w:rPr>
        <w:t>
      В графе 31 "Стоимость (в валюте контракта (договора))" указывается стоимость в валюте контракта (договора).</w:t>
      </w:r>
      <w:r>
        <w:br/>
      </w:r>
      <w:r>
        <w:rPr>
          <w:rFonts w:ascii="Times New Roman"/>
          <w:b w:val="false"/>
          <w:i w:val="false"/>
          <w:color w:val="000000"/>
          <w:sz w:val="28"/>
        </w:rPr>
        <w:t>
</w:t>
      </w:r>
      <w:r>
        <w:rPr>
          <w:rFonts w:ascii="Times New Roman"/>
          <w:b w:val="false"/>
          <w:i w:val="false"/>
          <w:color w:val="000000"/>
          <w:sz w:val="28"/>
        </w:rPr>
        <w:t>
      В графе 32 "Цена сделки (в валюте контракта (договора))" указывается цена сделки в валюте контракта (договора).</w:t>
      </w:r>
      <w:r>
        <w:br/>
      </w:r>
      <w:r>
        <w:rPr>
          <w:rFonts w:ascii="Times New Roman"/>
          <w:b w:val="false"/>
          <w:i w:val="false"/>
          <w:color w:val="000000"/>
          <w:sz w:val="28"/>
        </w:rPr>
        <w:t>
</w:t>
      </w:r>
      <w:r>
        <w:rPr>
          <w:rFonts w:ascii="Times New Roman"/>
          <w:b w:val="false"/>
          <w:i w:val="false"/>
          <w:color w:val="000000"/>
          <w:sz w:val="28"/>
        </w:rPr>
        <w:t>
      В графе 33 "Валюта контракта (договора)" указывается валюта, в которой осуществлялась оплата экспортируемого товара (работы, услуги) по контракту (договору).</w:t>
      </w:r>
      <w:r>
        <w:br/>
      </w:r>
      <w:r>
        <w:rPr>
          <w:rFonts w:ascii="Times New Roman"/>
          <w:b w:val="false"/>
          <w:i w:val="false"/>
          <w:color w:val="000000"/>
          <w:sz w:val="28"/>
        </w:rPr>
        <w:t>
</w:t>
      </w:r>
      <w:r>
        <w:rPr>
          <w:rFonts w:ascii="Times New Roman"/>
          <w:b w:val="false"/>
          <w:i w:val="false"/>
          <w:color w:val="000000"/>
          <w:sz w:val="28"/>
        </w:rPr>
        <w:t>
      В графе 34 "Курс тенге" указывается рыночный курс тенге к валюте контракта (договора) на дату принятия декларации на товары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35 "Методология трансфертного ценообразования" указывается, совокупность принципов установления цены сделки, обосновывающих уровень динамики этой цены.</w:t>
      </w:r>
      <w:r>
        <w:br/>
      </w:r>
      <w:r>
        <w:rPr>
          <w:rFonts w:ascii="Times New Roman"/>
          <w:b w:val="false"/>
          <w:i w:val="false"/>
          <w:color w:val="000000"/>
          <w:sz w:val="28"/>
        </w:rPr>
        <w:t>
</w:t>
      </w:r>
      <w:r>
        <w:rPr>
          <w:rFonts w:ascii="Times New Roman"/>
          <w:b w:val="false"/>
          <w:i w:val="false"/>
          <w:color w:val="000000"/>
          <w:sz w:val="28"/>
        </w:rPr>
        <w:t>
      В графе 36 "Факторы, влияющие на установление цены сделки" указываются факторы, оказывающие влияние на установление цены сделки.</w:t>
      </w:r>
      <w:r>
        <w:br/>
      </w:r>
      <w:r>
        <w:rPr>
          <w:rFonts w:ascii="Times New Roman"/>
          <w:b w:val="false"/>
          <w:i w:val="false"/>
          <w:color w:val="000000"/>
          <w:sz w:val="28"/>
        </w:rPr>
        <w:t>
</w:t>
      </w:r>
      <w:r>
        <w:rPr>
          <w:rFonts w:ascii="Times New Roman"/>
          <w:b w:val="false"/>
          <w:i w:val="false"/>
          <w:color w:val="000000"/>
          <w:sz w:val="28"/>
        </w:rPr>
        <w:t>
      В графе 37 "Метод, применяемый для определения рыночной цены" указывается один из методов, определенных </w:t>
      </w:r>
      <w:r>
        <w:rPr>
          <w:rFonts w:ascii="Times New Roman"/>
          <w:b w:val="false"/>
          <w:i w:val="false"/>
          <w:color w:val="000000"/>
          <w:sz w:val="28"/>
        </w:rPr>
        <w:t>статьей 12</w:t>
      </w:r>
      <w:r>
        <w:rPr>
          <w:rFonts w:ascii="Times New Roman"/>
          <w:b w:val="false"/>
          <w:i w:val="false"/>
          <w:color w:val="000000"/>
          <w:sz w:val="28"/>
        </w:rPr>
        <w:t xml:space="preserve"> Закона и применяемых участником сделки для определения рыночной цены.</w:t>
      </w:r>
      <w:r>
        <w:br/>
      </w:r>
      <w:r>
        <w:rPr>
          <w:rFonts w:ascii="Times New Roman"/>
          <w:b w:val="false"/>
          <w:i w:val="false"/>
          <w:color w:val="000000"/>
          <w:sz w:val="28"/>
        </w:rPr>
        <w:t>
</w:t>
      </w:r>
      <w:r>
        <w:rPr>
          <w:rFonts w:ascii="Times New Roman"/>
          <w:b w:val="false"/>
          <w:i w:val="false"/>
          <w:color w:val="000000"/>
          <w:sz w:val="28"/>
        </w:rPr>
        <w:t>
      В графе 38 "Источник информации, указывается источник информации, применяемый для определения рыночной цены товара (работы, услуги).</w:t>
      </w:r>
      <w:r>
        <w:br/>
      </w:r>
      <w:r>
        <w:rPr>
          <w:rFonts w:ascii="Times New Roman"/>
          <w:b w:val="false"/>
          <w:i w:val="false"/>
          <w:color w:val="000000"/>
          <w:sz w:val="28"/>
        </w:rPr>
        <w:t>
</w:t>
      </w:r>
      <w:r>
        <w:rPr>
          <w:rFonts w:ascii="Times New Roman"/>
          <w:b w:val="false"/>
          <w:i w:val="false"/>
          <w:color w:val="000000"/>
          <w:sz w:val="28"/>
        </w:rPr>
        <w:t>
      В графе 39 "Дифференциал" указываются сведения, подтвержденные документально или источниками информации, предусмотренными </w:t>
      </w:r>
      <w:r>
        <w:rPr>
          <w:rFonts w:ascii="Times New Roman"/>
          <w:b w:val="false"/>
          <w:i w:val="false"/>
          <w:color w:val="000000"/>
          <w:sz w:val="28"/>
        </w:rPr>
        <w:t>статьей 18</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В графе 40 "Рыночная цена товара (работы, услуги)" указывается рыночная цена товара (работы, услуги).</w:t>
      </w:r>
      <w:r>
        <w:br/>
      </w:r>
      <w:r>
        <w:rPr>
          <w:rFonts w:ascii="Times New Roman"/>
          <w:b w:val="false"/>
          <w:i w:val="false"/>
          <w:color w:val="000000"/>
          <w:sz w:val="28"/>
        </w:rPr>
        <w:t>
</w:t>
      </w:r>
      <w:r>
        <w:rPr>
          <w:rFonts w:ascii="Times New Roman"/>
          <w:b w:val="false"/>
          <w:i w:val="false"/>
          <w:color w:val="000000"/>
          <w:sz w:val="28"/>
        </w:rPr>
        <w:t>
      В графе 41 "Описание предпринимательской деятельности участника сделки (экспортера), отрасли деятельности и условий рынка" указывается описание деятельности участника сделки по производству и (или) реализации товаров, выполнению работ или оказанию услуг, в том числе коммерческое посредничество, торгово-закупочная, инновационная, консультационная деятельность, операции с ценными бумагами.</w:t>
      </w:r>
      <w:r>
        <w:br/>
      </w:r>
      <w:r>
        <w:rPr>
          <w:rFonts w:ascii="Times New Roman"/>
          <w:b w:val="false"/>
          <w:i w:val="false"/>
          <w:color w:val="000000"/>
          <w:sz w:val="28"/>
        </w:rPr>
        <w:t>
</w:t>
      </w:r>
      <w:r>
        <w:rPr>
          <w:rFonts w:ascii="Times New Roman"/>
          <w:b w:val="false"/>
          <w:i w:val="false"/>
          <w:color w:val="000000"/>
          <w:sz w:val="28"/>
        </w:rPr>
        <w:t>
      В графе 42 "Стратегия бизнеса" указываются сведения, относящиеся к стратегии бизнеса участника сделки, представляющей собой процессы использования имеющегося потенциала для производства продукции, выполнения работ, оказания услуг; включает в себя цели фирмы, политику и планы реализации поставленных целей, определяет сферу бизнеса, в которой сосредоточена основная деятельность компании, а также природу экономических и внешнеэкономических достижений.</w:t>
      </w:r>
      <w:r>
        <w:br/>
      </w:r>
      <w:r>
        <w:rPr>
          <w:rFonts w:ascii="Times New Roman"/>
          <w:b w:val="false"/>
          <w:i w:val="false"/>
          <w:color w:val="000000"/>
          <w:sz w:val="28"/>
        </w:rPr>
        <w:t>
</w:t>
      </w:r>
      <w:r>
        <w:rPr>
          <w:rFonts w:ascii="Times New Roman"/>
          <w:b w:val="false"/>
          <w:i w:val="false"/>
          <w:color w:val="000000"/>
          <w:sz w:val="28"/>
        </w:rPr>
        <w:t>
      В графе 43 "Другая информация, обосновывающая правильность применения цены сделки товара (работы, услуги)" указывается информация, которую, по мнению участника сделки необходимо отразить в целях предоставления обоснования по применяемым ценам.</w:t>
      </w:r>
      <w:r>
        <w:br/>
      </w:r>
      <w:r>
        <w:rPr>
          <w:rFonts w:ascii="Times New Roman"/>
          <w:b w:val="false"/>
          <w:i w:val="false"/>
          <w:color w:val="000000"/>
          <w:sz w:val="28"/>
        </w:rPr>
        <w:t>
</w:t>
      </w:r>
      <w:r>
        <w:rPr>
          <w:rFonts w:ascii="Times New Roman"/>
          <w:b w:val="false"/>
          <w:i w:val="false"/>
          <w:color w:val="000000"/>
          <w:sz w:val="28"/>
        </w:rPr>
        <w:t>
      В графе 44 "Другая информация, влияющая на величину отклонения цены сделки товара (работы, услуги) от рыночной цены" указывается информация, которая, по мнению участника сделки, оказывает влияние на величину отклонения цены сделки товара (работы, услуги) от рыночной цены.</w:t>
      </w:r>
      <w:r>
        <w:br/>
      </w:r>
      <w:r>
        <w:rPr>
          <w:rFonts w:ascii="Times New Roman"/>
          <w:b w:val="false"/>
          <w:i w:val="false"/>
          <w:color w:val="000000"/>
          <w:sz w:val="28"/>
        </w:rPr>
        <w:t>
</w:t>
      </w:r>
      <w:r>
        <w:rPr>
          <w:rFonts w:ascii="Times New Roman"/>
          <w:b w:val="false"/>
          <w:i w:val="false"/>
          <w:color w:val="000000"/>
          <w:sz w:val="28"/>
        </w:rPr>
        <w:t>
      В графе 45 "Прогноз цен на товары (работы, услуги) на экспортных рынках" указывается прогноз цен на экспортируемые товары (работы, услуги) участником сделки.</w:t>
      </w:r>
      <w:r>
        <w:br/>
      </w:r>
      <w:r>
        <w:rPr>
          <w:rFonts w:ascii="Times New Roman"/>
          <w:b w:val="false"/>
          <w:i w:val="false"/>
          <w:color w:val="000000"/>
          <w:sz w:val="28"/>
        </w:rPr>
        <w:t>
</w:t>
      </w:r>
      <w:r>
        <w:rPr>
          <w:rFonts w:ascii="Times New Roman"/>
          <w:b w:val="false"/>
          <w:i w:val="false"/>
          <w:color w:val="000000"/>
          <w:sz w:val="28"/>
        </w:rPr>
        <w:t>
      В графе 46 "Стратегия ведения деловых операций" указываются сведения, относящиеся к стратегии ведения деловых операций.</w:t>
      </w:r>
      <w:r>
        <w:br/>
      </w:r>
      <w:r>
        <w:rPr>
          <w:rFonts w:ascii="Times New Roman"/>
          <w:b w:val="false"/>
          <w:i w:val="false"/>
          <w:color w:val="000000"/>
          <w:sz w:val="28"/>
        </w:rPr>
        <w:t>
</w:t>
      </w:r>
      <w:r>
        <w:rPr>
          <w:rFonts w:ascii="Times New Roman"/>
          <w:b w:val="false"/>
          <w:i w:val="false"/>
          <w:color w:val="000000"/>
          <w:sz w:val="28"/>
        </w:rPr>
        <w:t>
      В графе 47 "Отчеты по международным стандартам бухгалтерского учета, в том числе финансовая отчетность" указывается информация, представляющая единую систему данных о финансовом положении организации, финансовых результатах ее деятельности и изменениях в ее финансовом положении.</w:t>
      </w:r>
      <w:r>
        <w:br/>
      </w:r>
      <w:r>
        <w:rPr>
          <w:rFonts w:ascii="Times New Roman"/>
          <w:b w:val="false"/>
          <w:i w:val="false"/>
          <w:color w:val="000000"/>
          <w:sz w:val="28"/>
        </w:rPr>
        <w:t>
</w:t>
      </w:r>
      <w:r>
        <w:rPr>
          <w:rFonts w:ascii="Times New Roman"/>
          <w:b w:val="false"/>
          <w:i w:val="false"/>
          <w:color w:val="000000"/>
          <w:sz w:val="28"/>
        </w:rPr>
        <w:t>
      В графе 48 "Функциональный анализ, анализ рисков, материальных и нематериальных активов" указываются сведения о сфере деятельности компании, ее обязанностей, рисков и активов, для того, чтобы определить как обязанности, риски и активы распределены между компаниями, которые участвуют в операции.</w:t>
      </w:r>
      <w:r>
        <w:br/>
      </w:r>
      <w:r>
        <w:rPr>
          <w:rFonts w:ascii="Times New Roman"/>
          <w:b w:val="false"/>
          <w:i w:val="false"/>
          <w:color w:val="000000"/>
          <w:sz w:val="28"/>
        </w:rPr>
        <w:t>
</w:t>
      </w:r>
      <w:r>
        <w:rPr>
          <w:rFonts w:ascii="Times New Roman"/>
          <w:b w:val="false"/>
          <w:i w:val="false"/>
          <w:color w:val="000000"/>
          <w:sz w:val="28"/>
        </w:rPr>
        <w:t>
      В графе 49 "Маржа, комиссионное (агентское) вознаграждение торгового брокера, трейдера или агента либо компенсации за выполнение ими торгово-посреднических функций" указывается маржа, комиссионное (агентское) вознаграждение торгового брокера, трейдера или агента либо компенсации за выполнение ими торгово-посреднических функций. Информация, указанная в графах 9, 10, 13-15, 35, 36, 41-49, представляется в электронном виде с подтверждением на бумажном носителе в виде приложения к отчетности по мониторингу сделок "Экспорт товаров (работ, услуг)" в случае наличия таких условий и данных.</w:t>
      </w:r>
      <w:r>
        <w:br/>
      </w:r>
      <w:r>
        <w:rPr>
          <w:rFonts w:ascii="Times New Roman"/>
          <w:b w:val="false"/>
          <w:i w:val="false"/>
          <w:color w:val="000000"/>
          <w:sz w:val="28"/>
        </w:rPr>
        <w:t>
</w:t>
      </w:r>
      <w:r>
        <w:rPr>
          <w:rFonts w:ascii="Times New Roman"/>
          <w:b w:val="false"/>
          <w:i w:val="false"/>
          <w:color w:val="000000"/>
          <w:sz w:val="28"/>
        </w:rPr>
        <w:t>
      Информация, указанная в графах 10, 35, 36, 41-49, предоставляется в электронном виде с подтверждением на бумажных носителях в виде приложения к настоящей форме отчетности в случае наличия таких условий и данных.</w:t>
      </w:r>
      <w:r>
        <w:br/>
      </w:r>
      <w:r>
        <w:rPr>
          <w:rFonts w:ascii="Times New Roman"/>
          <w:b w:val="false"/>
          <w:i w:val="false"/>
          <w:color w:val="000000"/>
          <w:sz w:val="28"/>
        </w:rPr>
        <w:t>
</w:t>
      </w:r>
      <w:r>
        <w:rPr>
          <w:rFonts w:ascii="Times New Roman"/>
          <w:b w:val="false"/>
          <w:i w:val="false"/>
          <w:color w:val="000000"/>
          <w:sz w:val="28"/>
        </w:rPr>
        <w:t>
      Информация, предоставляемая участником сделки на бумажном носителе, подписывается руководителем и главным бухгалтером, а также заверяется печатью.</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Отчетность по мониторингу сделок "Импорт товаров (работ,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заполняется по мере приобретения товара, выполнения работ, предоставления услуг, связанных с импортом товаров (работ, услуг)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превышать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"РНН" указывается регистрационный номер налогоплательщика-получателя. Графа подлежит обязательному заполнению при представлении отчетности до 1 января 2012 года.</w:t>
      </w:r>
      <w:r>
        <w:br/>
      </w:r>
      <w:r>
        <w:rPr>
          <w:rFonts w:ascii="Times New Roman"/>
          <w:b w:val="false"/>
          <w:i w:val="false"/>
          <w:color w:val="000000"/>
          <w:sz w:val="28"/>
        </w:rPr>
        <w:t>
</w:t>
      </w:r>
      <w:r>
        <w:rPr>
          <w:rFonts w:ascii="Times New Roman"/>
          <w:b w:val="false"/>
          <w:i w:val="false"/>
          <w:color w:val="000000"/>
          <w:sz w:val="28"/>
        </w:rPr>
        <w:t>
      В графе 2-1 "ИИН (БИН)" указывается индивидуальный идентификационный номер (бизнес идентификационный номер) налогоплательщика–получателя. Графа подлежит обязательному заполнению при представлении отчетности с 1 января 2012 года.</w:t>
      </w:r>
      <w:r>
        <w:br/>
      </w:r>
      <w:r>
        <w:rPr>
          <w:rFonts w:ascii="Times New Roman"/>
          <w:b w:val="false"/>
          <w:i w:val="false"/>
          <w:color w:val="000000"/>
          <w:sz w:val="28"/>
        </w:rPr>
        <w:t>
</w:t>
      </w:r>
      <w:r>
        <w:rPr>
          <w:rFonts w:ascii="Times New Roman"/>
          <w:b w:val="false"/>
          <w:i w:val="false"/>
          <w:color w:val="000000"/>
          <w:sz w:val="28"/>
        </w:rPr>
        <w:t>
      В графе 3 "Наименование покупателя (импортера)" указывается полное наименование юридического лица (импортера) с указанием его организационно-правовой формы.</w:t>
      </w:r>
      <w:r>
        <w:br/>
      </w:r>
      <w:r>
        <w:rPr>
          <w:rFonts w:ascii="Times New Roman"/>
          <w:b w:val="false"/>
          <w:i w:val="false"/>
          <w:color w:val="000000"/>
          <w:sz w:val="28"/>
        </w:rPr>
        <w:t>
</w:t>
      </w:r>
      <w:r>
        <w:rPr>
          <w:rFonts w:ascii="Times New Roman"/>
          <w:b w:val="false"/>
          <w:i w:val="false"/>
          <w:color w:val="000000"/>
          <w:sz w:val="28"/>
        </w:rPr>
        <w:t>
      В графе 4 "Налоговый период" указывается период, за который сдается отчетность по мониторингу сделок.</w:t>
      </w:r>
      <w:r>
        <w:br/>
      </w:r>
      <w:r>
        <w:rPr>
          <w:rFonts w:ascii="Times New Roman"/>
          <w:b w:val="false"/>
          <w:i w:val="false"/>
          <w:color w:val="000000"/>
          <w:sz w:val="28"/>
        </w:rPr>
        <w:t>
</w:t>
      </w:r>
      <w:r>
        <w:rPr>
          <w:rFonts w:ascii="Times New Roman"/>
          <w:b w:val="false"/>
          <w:i w:val="false"/>
          <w:color w:val="000000"/>
          <w:sz w:val="28"/>
        </w:rPr>
        <w:t>
      В графах 5 и 6 "Дата декларации на товары (Заявления)" и "№ декларации на товары (Заявления)" указываются дата и номер декларации на товары или дата и номер Заявления о ввозе товаров и уплате косвенных налогов (далее – Заявление). При этом дата и номер Заявления указываются в случаях внешнеэкономической деятельности со странами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графе 7 "Код ТН ВЭД ТС" указывается код Товарной номенклатуры внешнеэкономической деятельности таможенного союза.</w:t>
      </w:r>
      <w:r>
        <w:br/>
      </w:r>
      <w:r>
        <w:rPr>
          <w:rFonts w:ascii="Times New Roman"/>
          <w:b w:val="false"/>
          <w:i w:val="false"/>
          <w:color w:val="000000"/>
          <w:sz w:val="28"/>
        </w:rPr>
        <w:t>
</w:t>
      </w:r>
      <w:r>
        <w:rPr>
          <w:rFonts w:ascii="Times New Roman"/>
          <w:b w:val="false"/>
          <w:i w:val="false"/>
          <w:color w:val="000000"/>
          <w:sz w:val="28"/>
        </w:rPr>
        <w:t>
      В графе 8 "Наименование товара (работы, услуги)" отражается наименование импортируемых товаров (работ, услуг).</w:t>
      </w:r>
      <w:r>
        <w:br/>
      </w:r>
      <w:r>
        <w:rPr>
          <w:rFonts w:ascii="Times New Roman"/>
          <w:b w:val="false"/>
          <w:i w:val="false"/>
          <w:color w:val="000000"/>
          <w:sz w:val="28"/>
        </w:rPr>
        <w:t>
</w:t>
      </w:r>
      <w:r>
        <w:rPr>
          <w:rFonts w:ascii="Times New Roman"/>
          <w:b w:val="false"/>
          <w:i w:val="false"/>
          <w:color w:val="000000"/>
          <w:sz w:val="28"/>
        </w:rPr>
        <w:t>
      В графе 9 "Качественные характеристики товара (работы, услуги)" указываются качество товара (работы, услуги) в случае наличия такого условия.</w:t>
      </w:r>
      <w:r>
        <w:br/>
      </w:r>
      <w:r>
        <w:rPr>
          <w:rFonts w:ascii="Times New Roman"/>
          <w:b w:val="false"/>
          <w:i w:val="false"/>
          <w:color w:val="000000"/>
          <w:sz w:val="28"/>
        </w:rPr>
        <w:t>
</w:t>
      </w:r>
      <w:r>
        <w:rPr>
          <w:rFonts w:ascii="Times New Roman"/>
          <w:b w:val="false"/>
          <w:i w:val="false"/>
          <w:color w:val="000000"/>
          <w:sz w:val="28"/>
        </w:rPr>
        <w:t>
      Качество товара (работы, услуги) представляет собой совокупность свойств, характеристик, указанных в сертификате качества (соответствия) товара (работы, услуги) и, обуславливающих их пригодность удовлетворять определенные потребности в соответствии с их назначением. Свойство - объективная особенность товара (работы, услуги), проявляющаяся при ее создании, оценке, хранении и потреблении (эксплуатации). Показатель качества - количественное и качественное выражение свойств товара (работы, услуги). Показатели качества являются физическими или нефизическими величинами. Физические величины (длина, масса, плотность) могут измеряться количественно и качественно. Наименование показателя служит качественной характеристикой товара (например, массовая доля сахара в соке, длина хлопкового волокна). Единичные показатели - показатели, предназначенные для выражения простых свойств товара. К ним относятся цвет, форма, целостность, кислотность и другие.</w:t>
      </w:r>
      <w:r>
        <w:br/>
      </w:r>
      <w:r>
        <w:rPr>
          <w:rFonts w:ascii="Times New Roman"/>
          <w:b w:val="false"/>
          <w:i w:val="false"/>
          <w:color w:val="000000"/>
          <w:sz w:val="28"/>
        </w:rPr>
        <w:t>
</w:t>
      </w:r>
      <w:r>
        <w:rPr>
          <w:rFonts w:ascii="Times New Roman"/>
          <w:b w:val="false"/>
          <w:i w:val="false"/>
          <w:color w:val="000000"/>
          <w:sz w:val="28"/>
        </w:rPr>
        <w:t>
      В графе 10 "Репутация на рынке товаров (работ, услуг)" указывается информация о репутации на рынке, представляющей собой устойчивое мнение о достоинствах и недостатках организации в деловом мире (в определенном сегменте рынка). Информация о репутации на рынке товаров (работ, услуг) складывается из таких показателей, как качество товара (работы, услуги), устойчивость финансового положения, доля рынка, доступность информации о компании, ее публичность и известность, и другие.</w:t>
      </w:r>
      <w:r>
        <w:br/>
      </w:r>
      <w:r>
        <w:rPr>
          <w:rFonts w:ascii="Times New Roman"/>
          <w:b w:val="false"/>
          <w:i w:val="false"/>
          <w:color w:val="000000"/>
          <w:sz w:val="28"/>
        </w:rPr>
        <w:t>
</w:t>
      </w:r>
      <w:r>
        <w:rPr>
          <w:rFonts w:ascii="Times New Roman"/>
          <w:b w:val="false"/>
          <w:i w:val="false"/>
          <w:color w:val="000000"/>
          <w:sz w:val="28"/>
        </w:rPr>
        <w:t>
      В графе 11 "Страна отправления товара" указывается страна, из которой импортируется товар, выполняются работы, оказываются услуги.</w:t>
      </w:r>
      <w:r>
        <w:br/>
      </w:r>
      <w:r>
        <w:rPr>
          <w:rFonts w:ascii="Times New Roman"/>
          <w:b w:val="false"/>
          <w:i w:val="false"/>
          <w:color w:val="000000"/>
          <w:sz w:val="28"/>
        </w:rPr>
        <w:t>
</w:t>
      </w:r>
      <w:r>
        <w:rPr>
          <w:rFonts w:ascii="Times New Roman"/>
          <w:b w:val="false"/>
          <w:i w:val="false"/>
          <w:color w:val="000000"/>
          <w:sz w:val="28"/>
        </w:rPr>
        <w:t>
      В графе 12 "Вид транспортировки" указываются виды транспортов (железнодорожный, воздушный и другие), используемых для импорта товара.</w:t>
      </w:r>
      <w:r>
        <w:br/>
      </w:r>
      <w:r>
        <w:rPr>
          <w:rFonts w:ascii="Times New Roman"/>
          <w:b w:val="false"/>
          <w:i w:val="false"/>
          <w:color w:val="000000"/>
          <w:sz w:val="28"/>
        </w:rPr>
        <w:t>
</w:t>
      </w:r>
      <w:r>
        <w:rPr>
          <w:rFonts w:ascii="Times New Roman"/>
          <w:b w:val="false"/>
          <w:i w:val="false"/>
          <w:color w:val="000000"/>
          <w:sz w:val="28"/>
        </w:rPr>
        <w:t>
      В графе 13 "Страна происхождения товара (работы, услуги)" указывается страна, в которой произведен товар (работа, услуга)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14 "Производитель товара (работы, услуги)" указывается производитель товара (работы, услуги)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15 "Наличие товарного знака (торговой марки, бренда)" указывается наличие товарного знака (торговой марки, бренда)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16 "Условия поставки товара (работы, услуги)" указываются условия поставки товара (работы, услуги) согласно Инкотермс 2000.</w:t>
      </w:r>
      <w:r>
        <w:br/>
      </w:r>
      <w:r>
        <w:rPr>
          <w:rFonts w:ascii="Times New Roman"/>
          <w:b w:val="false"/>
          <w:i w:val="false"/>
          <w:color w:val="000000"/>
          <w:sz w:val="28"/>
        </w:rPr>
        <w:t>
</w:t>
      </w:r>
      <w:r>
        <w:rPr>
          <w:rFonts w:ascii="Times New Roman"/>
          <w:b w:val="false"/>
          <w:i w:val="false"/>
          <w:color w:val="000000"/>
          <w:sz w:val="28"/>
        </w:rPr>
        <w:t>
      В графах 17 и 18 "Дата и место отгрузки товара (работы, услуги)" указывается дата и место отгрузки товара (работы, услуги).</w:t>
      </w:r>
      <w:r>
        <w:br/>
      </w:r>
      <w:r>
        <w:rPr>
          <w:rFonts w:ascii="Times New Roman"/>
          <w:b w:val="false"/>
          <w:i w:val="false"/>
          <w:color w:val="000000"/>
          <w:sz w:val="28"/>
        </w:rPr>
        <w:t>
</w:t>
      </w:r>
      <w:r>
        <w:rPr>
          <w:rFonts w:ascii="Times New Roman"/>
          <w:b w:val="false"/>
          <w:i w:val="false"/>
          <w:color w:val="000000"/>
          <w:sz w:val="28"/>
        </w:rPr>
        <w:t>
      В графе 19 "Страна отправления товара (работы, услуги)" указывается страна отправления товара (работы, услуги).</w:t>
      </w:r>
      <w:r>
        <w:br/>
      </w:r>
      <w:r>
        <w:rPr>
          <w:rFonts w:ascii="Times New Roman"/>
          <w:b w:val="false"/>
          <w:i w:val="false"/>
          <w:color w:val="000000"/>
          <w:sz w:val="28"/>
        </w:rPr>
        <w:t>
</w:t>
      </w:r>
      <w:r>
        <w:rPr>
          <w:rFonts w:ascii="Times New Roman"/>
          <w:b w:val="false"/>
          <w:i w:val="false"/>
          <w:color w:val="000000"/>
          <w:sz w:val="28"/>
        </w:rPr>
        <w:t>
      В графе 20 "Пункт доставки товара (работы, услуги)" указывается пункт доставки товара (работы, услуги).</w:t>
      </w:r>
      <w:r>
        <w:br/>
      </w:r>
      <w:r>
        <w:rPr>
          <w:rFonts w:ascii="Times New Roman"/>
          <w:b w:val="false"/>
          <w:i w:val="false"/>
          <w:color w:val="000000"/>
          <w:sz w:val="28"/>
        </w:rPr>
        <w:t>
</w:t>
      </w:r>
      <w:r>
        <w:rPr>
          <w:rFonts w:ascii="Times New Roman"/>
          <w:b w:val="false"/>
          <w:i w:val="false"/>
          <w:color w:val="000000"/>
          <w:sz w:val="28"/>
        </w:rPr>
        <w:t>
      В графах 21 и 22 "Наименование отправителя" и "Юридический адрес отправителя" указывается фамилия, имя, отчество физического лица или наименование юридического лица-отправителя товара (работы, услуги) и юридический адрес отправителя.</w:t>
      </w:r>
      <w:r>
        <w:br/>
      </w:r>
      <w:r>
        <w:rPr>
          <w:rFonts w:ascii="Times New Roman"/>
          <w:b w:val="false"/>
          <w:i w:val="false"/>
          <w:color w:val="000000"/>
          <w:sz w:val="28"/>
        </w:rPr>
        <w:t>
</w:t>
      </w:r>
      <w:r>
        <w:rPr>
          <w:rFonts w:ascii="Times New Roman"/>
          <w:b w:val="false"/>
          <w:i w:val="false"/>
          <w:color w:val="000000"/>
          <w:sz w:val="28"/>
        </w:rPr>
        <w:t>
      В графе 23 "Страна регистрации отправителя" указывается страна регистрации отправителя.</w:t>
      </w:r>
      <w:r>
        <w:br/>
      </w:r>
      <w:r>
        <w:rPr>
          <w:rFonts w:ascii="Times New Roman"/>
          <w:b w:val="false"/>
          <w:i w:val="false"/>
          <w:color w:val="000000"/>
          <w:sz w:val="28"/>
        </w:rPr>
        <w:t>
</w:t>
      </w:r>
      <w:r>
        <w:rPr>
          <w:rFonts w:ascii="Times New Roman"/>
          <w:b w:val="false"/>
          <w:i w:val="false"/>
          <w:color w:val="000000"/>
          <w:sz w:val="28"/>
        </w:rPr>
        <w:t>
      В графе 24 "Торгующая страна" проставляется цифровой код торгующей страны товара (работы, услуги) в соответствии с Классификатором стран мира,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Под торгующей страной понимается страна, где зарегистрировано или постоянно проживает лицо, с которым участник сделки заключил договор, в соответствии с которым товары перемещаются через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В графе 25 "Информация о взаимосвязанности сторон (продавца и покупателя)" указывается информация о взаимосвязанности сторон (продавца и покупателя)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графах 26 и 27 "Дата и № контракта (договора)" указываются дата и номер контракта (договора).</w:t>
      </w:r>
      <w:r>
        <w:br/>
      </w:r>
      <w:r>
        <w:rPr>
          <w:rFonts w:ascii="Times New Roman"/>
          <w:b w:val="false"/>
          <w:i w:val="false"/>
          <w:color w:val="000000"/>
          <w:sz w:val="28"/>
        </w:rPr>
        <w:t>
</w:t>
      </w:r>
      <w:r>
        <w:rPr>
          <w:rFonts w:ascii="Times New Roman"/>
          <w:b w:val="false"/>
          <w:i w:val="false"/>
          <w:color w:val="000000"/>
          <w:sz w:val="28"/>
        </w:rPr>
        <w:t>
      В графе 28 "Дата и № счета-фактуры" указываются дата и № счета-фактуры.</w:t>
      </w:r>
      <w:r>
        <w:br/>
      </w:r>
      <w:r>
        <w:rPr>
          <w:rFonts w:ascii="Times New Roman"/>
          <w:b w:val="false"/>
          <w:i w:val="false"/>
          <w:color w:val="000000"/>
          <w:sz w:val="28"/>
        </w:rPr>
        <w:t>
</w:t>
      </w:r>
      <w:r>
        <w:rPr>
          <w:rFonts w:ascii="Times New Roman"/>
          <w:b w:val="false"/>
          <w:i w:val="false"/>
          <w:color w:val="000000"/>
          <w:sz w:val="28"/>
        </w:rPr>
        <w:t>
      В графе 29 "Единица измерения товара" указывается единица измерения товара (штуки, килограммы, тонны, метры, кубометры, литры, кВТ и другие единицы измерения, применяемые в Республике Казахстан).</w:t>
      </w:r>
      <w:r>
        <w:br/>
      </w:r>
      <w:r>
        <w:rPr>
          <w:rFonts w:ascii="Times New Roman"/>
          <w:b w:val="false"/>
          <w:i w:val="false"/>
          <w:color w:val="000000"/>
          <w:sz w:val="28"/>
        </w:rPr>
        <w:t>
</w:t>
      </w:r>
      <w:r>
        <w:rPr>
          <w:rFonts w:ascii="Times New Roman"/>
          <w:b w:val="false"/>
          <w:i w:val="false"/>
          <w:color w:val="000000"/>
          <w:sz w:val="28"/>
        </w:rPr>
        <w:t>
      В графе 30 "Объем реализации товара" указывается объем фактически произведенного импорта товара в единицах измерения, указанных в графе 29.</w:t>
      </w:r>
      <w:r>
        <w:br/>
      </w:r>
      <w:r>
        <w:rPr>
          <w:rFonts w:ascii="Times New Roman"/>
          <w:b w:val="false"/>
          <w:i w:val="false"/>
          <w:color w:val="000000"/>
          <w:sz w:val="28"/>
        </w:rPr>
        <w:t>
</w:t>
      </w:r>
      <w:r>
        <w:rPr>
          <w:rFonts w:ascii="Times New Roman"/>
          <w:b w:val="false"/>
          <w:i w:val="false"/>
          <w:color w:val="000000"/>
          <w:sz w:val="28"/>
        </w:rPr>
        <w:t>
      В графе 31 "Стоимость (в валюте контракта)" указывается стоимость в валюте контракта (договора).</w:t>
      </w:r>
      <w:r>
        <w:br/>
      </w:r>
      <w:r>
        <w:rPr>
          <w:rFonts w:ascii="Times New Roman"/>
          <w:b w:val="false"/>
          <w:i w:val="false"/>
          <w:color w:val="000000"/>
          <w:sz w:val="28"/>
        </w:rPr>
        <w:t>
</w:t>
      </w:r>
      <w:r>
        <w:rPr>
          <w:rFonts w:ascii="Times New Roman"/>
          <w:b w:val="false"/>
          <w:i w:val="false"/>
          <w:color w:val="000000"/>
          <w:sz w:val="28"/>
        </w:rPr>
        <w:t>
      В графе 32 "Цена сделки (приобретения) (в валюте контракта (договора))" указывается цена сделки в валюте контракта (договора).</w:t>
      </w:r>
      <w:r>
        <w:br/>
      </w:r>
      <w:r>
        <w:rPr>
          <w:rFonts w:ascii="Times New Roman"/>
          <w:b w:val="false"/>
          <w:i w:val="false"/>
          <w:color w:val="000000"/>
          <w:sz w:val="28"/>
        </w:rPr>
        <w:t>
</w:t>
      </w:r>
      <w:r>
        <w:rPr>
          <w:rFonts w:ascii="Times New Roman"/>
          <w:b w:val="false"/>
          <w:i w:val="false"/>
          <w:color w:val="000000"/>
          <w:sz w:val="28"/>
        </w:rPr>
        <w:t>
      В графе 33 "Валюта контракта (договора)" указывается валюта, в которой осуществлялась оплата импортируемого товара (работы, услуги) по контракту (договора).</w:t>
      </w:r>
      <w:r>
        <w:br/>
      </w:r>
      <w:r>
        <w:rPr>
          <w:rFonts w:ascii="Times New Roman"/>
          <w:b w:val="false"/>
          <w:i w:val="false"/>
          <w:color w:val="000000"/>
          <w:sz w:val="28"/>
        </w:rPr>
        <w:t>
</w:t>
      </w:r>
      <w:r>
        <w:rPr>
          <w:rFonts w:ascii="Times New Roman"/>
          <w:b w:val="false"/>
          <w:i w:val="false"/>
          <w:color w:val="000000"/>
          <w:sz w:val="28"/>
        </w:rPr>
        <w:t>
      В графе 34 "Курс тенге" указывается рыночный курс тенге к валюте контракта (договора) на дату принятия декларации на товары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35 "Методология трансфертного ценообразования" указывается совокупность принципов установления цены сделки, обосновывающих уровень динамики этой цены.</w:t>
      </w:r>
      <w:r>
        <w:br/>
      </w:r>
      <w:r>
        <w:rPr>
          <w:rFonts w:ascii="Times New Roman"/>
          <w:b w:val="false"/>
          <w:i w:val="false"/>
          <w:color w:val="000000"/>
          <w:sz w:val="28"/>
        </w:rPr>
        <w:t>
</w:t>
      </w:r>
      <w:r>
        <w:rPr>
          <w:rFonts w:ascii="Times New Roman"/>
          <w:b w:val="false"/>
          <w:i w:val="false"/>
          <w:color w:val="000000"/>
          <w:sz w:val="28"/>
        </w:rPr>
        <w:t>
      В графе 36 "Факторы, влияющие на установление цены сделки" указываются факторы, оказывающие влияние на установление цены сделки.</w:t>
      </w:r>
      <w:r>
        <w:br/>
      </w:r>
      <w:r>
        <w:rPr>
          <w:rFonts w:ascii="Times New Roman"/>
          <w:b w:val="false"/>
          <w:i w:val="false"/>
          <w:color w:val="000000"/>
          <w:sz w:val="28"/>
        </w:rPr>
        <w:t>
</w:t>
      </w:r>
      <w:r>
        <w:rPr>
          <w:rFonts w:ascii="Times New Roman"/>
          <w:b w:val="false"/>
          <w:i w:val="false"/>
          <w:color w:val="000000"/>
          <w:sz w:val="28"/>
        </w:rPr>
        <w:t>
      В графе 37 "Метод, применяемый для определения рыночной цены" указывается один из методов, определенных </w:t>
      </w:r>
      <w:r>
        <w:rPr>
          <w:rFonts w:ascii="Times New Roman"/>
          <w:b w:val="false"/>
          <w:i w:val="false"/>
          <w:color w:val="000000"/>
          <w:sz w:val="28"/>
        </w:rPr>
        <w:t>статьей 12</w:t>
      </w:r>
      <w:r>
        <w:rPr>
          <w:rFonts w:ascii="Times New Roman"/>
          <w:b w:val="false"/>
          <w:i w:val="false"/>
          <w:color w:val="000000"/>
          <w:sz w:val="28"/>
        </w:rPr>
        <w:t xml:space="preserve"> Закона и применяемых участником сделки для определения рыночной цены.</w:t>
      </w:r>
      <w:r>
        <w:br/>
      </w:r>
      <w:r>
        <w:rPr>
          <w:rFonts w:ascii="Times New Roman"/>
          <w:b w:val="false"/>
          <w:i w:val="false"/>
          <w:color w:val="000000"/>
          <w:sz w:val="28"/>
        </w:rPr>
        <w:t>
</w:t>
      </w:r>
      <w:r>
        <w:rPr>
          <w:rFonts w:ascii="Times New Roman"/>
          <w:b w:val="false"/>
          <w:i w:val="false"/>
          <w:color w:val="000000"/>
          <w:sz w:val="28"/>
        </w:rPr>
        <w:t>
      В графе 38 "Источник информации, указывается источник информации, применяемый для определения рыночной цены товара (работы, услуги).</w:t>
      </w:r>
      <w:r>
        <w:br/>
      </w:r>
      <w:r>
        <w:rPr>
          <w:rFonts w:ascii="Times New Roman"/>
          <w:b w:val="false"/>
          <w:i w:val="false"/>
          <w:color w:val="000000"/>
          <w:sz w:val="28"/>
        </w:rPr>
        <w:t>
</w:t>
      </w:r>
      <w:r>
        <w:rPr>
          <w:rFonts w:ascii="Times New Roman"/>
          <w:b w:val="false"/>
          <w:i w:val="false"/>
          <w:color w:val="000000"/>
          <w:sz w:val="28"/>
        </w:rPr>
        <w:t>
      В графе 39 "Дифференциал" указываются сведения, подтвержденные документально или источниками информации, предусмотренными </w:t>
      </w:r>
      <w:r>
        <w:rPr>
          <w:rFonts w:ascii="Times New Roman"/>
          <w:b w:val="false"/>
          <w:i w:val="false"/>
          <w:color w:val="000000"/>
          <w:sz w:val="28"/>
        </w:rPr>
        <w:t>статьей 18</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В графе 40 "Рыночная цена товара (работы, услуги)" указывается рыночная цена товара (работы, услуги).</w:t>
      </w:r>
      <w:r>
        <w:br/>
      </w:r>
      <w:r>
        <w:rPr>
          <w:rFonts w:ascii="Times New Roman"/>
          <w:b w:val="false"/>
          <w:i w:val="false"/>
          <w:color w:val="000000"/>
          <w:sz w:val="28"/>
        </w:rPr>
        <w:t>
</w:t>
      </w:r>
      <w:r>
        <w:rPr>
          <w:rFonts w:ascii="Times New Roman"/>
          <w:b w:val="false"/>
          <w:i w:val="false"/>
          <w:color w:val="000000"/>
          <w:sz w:val="28"/>
        </w:rPr>
        <w:t>
      В графе 41 "Описание предпринимательской деятельности участника сделки (экспортера), отрасли деятельности и условий рынка" указывается описание деятельности участника сделки по производству и (или) реализации товаров, выполнению работ или оказанию услуг, в том числе коммерческое посредничество, торгово-закупочная, инновационная, консультационная деятельность, операции с ценными бумагами.</w:t>
      </w:r>
      <w:r>
        <w:br/>
      </w:r>
      <w:r>
        <w:rPr>
          <w:rFonts w:ascii="Times New Roman"/>
          <w:b w:val="false"/>
          <w:i w:val="false"/>
          <w:color w:val="000000"/>
          <w:sz w:val="28"/>
        </w:rPr>
        <w:t>
</w:t>
      </w:r>
      <w:r>
        <w:rPr>
          <w:rFonts w:ascii="Times New Roman"/>
          <w:b w:val="false"/>
          <w:i w:val="false"/>
          <w:color w:val="000000"/>
          <w:sz w:val="28"/>
        </w:rPr>
        <w:t>
      В графе 42 "Стратегия бизнеса" указываются сведения, относящиеся к стратегии бизнеса участника сделки, представляющей собой процессы использования имеющегося потенциала для производства продукции, выполнения работ, оказания услуг; включает в себя цели фирмы, политику и планы реализации поставленных целей, определяет сферу бизнеса, в которой сосредоточена основная деятельность компании, а также природу экономических и внешнеэкономических достижений.</w:t>
      </w:r>
      <w:r>
        <w:br/>
      </w:r>
      <w:r>
        <w:rPr>
          <w:rFonts w:ascii="Times New Roman"/>
          <w:b w:val="false"/>
          <w:i w:val="false"/>
          <w:color w:val="000000"/>
          <w:sz w:val="28"/>
        </w:rPr>
        <w:t>
</w:t>
      </w:r>
      <w:r>
        <w:rPr>
          <w:rFonts w:ascii="Times New Roman"/>
          <w:b w:val="false"/>
          <w:i w:val="false"/>
          <w:color w:val="000000"/>
          <w:sz w:val="28"/>
        </w:rPr>
        <w:t>
      В графе 43 "Другая информация, обосновывающая правильность применения цены сделки товара (работы, услуги) указывается информация, которую, по мнению участника сделки необходимо отразить в целях предоставления обоснования по применяемым ценам.</w:t>
      </w:r>
      <w:r>
        <w:br/>
      </w:r>
      <w:r>
        <w:rPr>
          <w:rFonts w:ascii="Times New Roman"/>
          <w:b w:val="false"/>
          <w:i w:val="false"/>
          <w:color w:val="000000"/>
          <w:sz w:val="28"/>
        </w:rPr>
        <w:t>
</w:t>
      </w:r>
      <w:r>
        <w:rPr>
          <w:rFonts w:ascii="Times New Roman"/>
          <w:b w:val="false"/>
          <w:i w:val="false"/>
          <w:color w:val="000000"/>
          <w:sz w:val="28"/>
        </w:rPr>
        <w:t>
      В графе 44 "Другая информация, влияющая на величину отклонения цены сделки товара (работы, услуги) от рыночной цены" указывается информация, которая, по мнению участника сделки, оказывает влияние на величину отклонения цены сделки товара (работы, услуги) от рыночной цены.</w:t>
      </w:r>
      <w:r>
        <w:br/>
      </w:r>
      <w:r>
        <w:rPr>
          <w:rFonts w:ascii="Times New Roman"/>
          <w:b w:val="false"/>
          <w:i w:val="false"/>
          <w:color w:val="000000"/>
          <w:sz w:val="28"/>
        </w:rPr>
        <w:t>
</w:t>
      </w:r>
      <w:r>
        <w:rPr>
          <w:rFonts w:ascii="Times New Roman"/>
          <w:b w:val="false"/>
          <w:i w:val="false"/>
          <w:color w:val="000000"/>
          <w:sz w:val="28"/>
        </w:rPr>
        <w:t>
      В графе 45 "Прогноз цен на товары (работы, услуги)" указывается прогноз цен на импортируемые товары (работы, услуги) участником сделки.</w:t>
      </w:r>
      <w:r>
        <w:br/>
      </w:r>
      <w:r>
        <w:rPr>
          <w:rFonts w:ascii="Times New Roman"/>
          <w:b w:val="false"/>
          <w:i w:val="false"/>
          <w:color w:val="000000"/>
          <w:sz w:val="28"/>
        </w:rPr>
        <w:t>
</w:t>
      </w:r>
      <w:r>
        <w:rPr>
          <w:rFonts w:ascii="Times New Roman"/>
          <w:b w:val="false"/>
          <w:i w:val="false"/>
          <w:color w:val="000000"/>
          <w:sz w:val="28"/>
        </w:rPr>
        <w:t>
      В графе 46 "Стратегия ведения деловых операций" указываются сведения, относящиеся к стратегии ведения деловых операций.</w:t>
      </w:r>
      <w:r>
        <w:br/>
      </w:r>
      <w:r>
        <w:rPr>
          <w:rFonts w:ascii="Times New Roman"/>
          <w:b w:val="false"/>
          <w:i w:val="false"/>
          <w:color w:val="000000"/>
          <w:sz w:val="28"/>
        </w:rPr>
        <w:t>
</w:t>
      </w:r>
      <w:r>
        <w:rPr>
          <w:rFonts w:ascii="Times New Roman"/>
          <w:b w:val="false"/>
          <w:i w:val="false"/>
          <w:color w:val="000000"/>
          <w:sz w:val="28"/>
        </w:rPr>
        <w:t>
      В графе 47 "Отчеты по международным стандартам бухгалтерского учета, в том числе финансовая отчетность" указывается информация, представляющая единую систему данных о финансовом положении организации, финансовых результатах ее деятельности и изменениях в ее финансовом положении.</w:t>
      </w:r>
      <w:r>
        <w:br/>
      </w:r>
      <w:r>
        <w:rPr>
          <w:rFonts w:ascii="Times New Roman"/>
          <w:b w:val="false"/>
          <w:i w:val="false"/>
          <w:color w:val="000000"/>
          <w:sz w:val="28"/>
        </w:rPr>
        <w:t>
</w:t>
      </w:r>
      <w:r>
        <w:rPr>
          <w:rFonts w:ascii="Times New Roman"/>
          <w:b w:val="false"/>
          <w:i w:val="false"/>
          <w:color w:val="000000"/>
          <w:sz w:val="28"/>
        </w:rPr>
        <w:t>
      В графе 48 "Функциональный анализ, анализ рисков, материальных и нематериальных активов" указываются сведения о сфере деятельности компании, ее обязанностей, рисков и активов, для того чтобы определить как обязанности, риски и активы распределены между компаниями, которые участвуют в операции.</w:t>
      </w:r>
      <w:r>
        <w:br/>
      </w:r>
      <w:r>
        <w:rPr>
          <w:rFonts w:ascii="Times New Roman"/>
          <w:b w:val="false"/>
          <w:i w:val="false"/>
          <w:color w:val="000000"/>
          <w:sz w:val="28"/>
        </w:rPr>
        <w:t>
</w:t>
      </w:r>
      <w:r>
        <w:rPr>
          <w:rFonts w:ascii="Times New Roman"/>
          <w:b w:val="false"/>
          <w:i w:val="false"/>
          <w:color w:val="000000"/>
          <w:sz w:val="28"/>
        </w:rPr>
        <w:t>
      В графе 49 "Маржа, комиссионное (агентское) вознаграждение торгового брокера, трейдера или агента либо компенсации за выполнение ими торгово-посреднических функций" указывается маржа, комиссионное (агентское) вознаграждение торгового брокера, трейдера или агента либо компенсации за выполнение ими торгово-посреднических функций. Информация, указанная в графах 9, 10, 13-15, 35, 36, 41-49, представляется в электронном виде с подтверждением на бумажном носителе в виде приложения отчетности по мониторингу сделок "Импорт товаров (работ, услуг)" в случае наличия таких условий и данных.</w:t>
      </w:r>
      <w:r>
        <w:br/>
      </w:r>
      <w:r>
        <w:rPr>
          <w:rFonts w:ascii="Times New Roman"/>
          <w:b w:val="false"/>
          <w:i w:val="false"/>
          <w:color w:val="000000"/>
          <w:sz w:val="28"/>
        </w:rPr>
        <w:t>
</w:t>
      </w:r>
      <w:r>
        <w:rPr>
          <w:rFonts w:ascii="Times New Roman"/>
          <w:b w:val="false"/>
          <w:i w:val="false"/>
          <w:color w:val="000000"/>
          <w:sz w:val="28"/>
        </w:rPr>
        <w:t>
      Информация, предоставляемая участником сделки на бумажном носителе, подписывается руководителем и главным бухгалтером, а также заверяется печатью.</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приказа Министра финансов РК от 09.06.2011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8"/>
    <w:bookmarkStart w:name="z136" w:id="9"/>
    <w:p>
      <w:pPr>
        <w:spacing w:after="0"/>
        <w:ind w:left="0"/>
        <w:jc w:val="left"/>
      </w:pPr>
      <w:r>
        <w:rPr>
          <w:rFonts w:ascii="Times New Roman"/>
          <w:b/>
          <w:i w:val="false"/>
          <w:color w:val="000000"/>
        </w:rPr>
        <w:t xml:space="preserve"> 
4. Порядок ведения документации по мониторингу сделок</w:t>
      </w:r>
      <w:r>
        <w:br/>
      </w:r>
      <w:r>
        <w:rPr>
          <w:rFonts w:ascii="Times New Roman"/>
          <w:b/>
          <w:i w:val="false"/>
          <w:color w:val="000000"/>
        </w:rPr>
        <w:t>
участниками сделок, осуществляющими сделки с товарами, которые</w:t>
      </w:r>
      <w:r>
        <w:br/>
      </w:r>
      <w:r>
        <w:rPr>
          <w:rFonts w:ascii="Times New Roman"/>
          <w:b/>
          <w:i w:val="false"/>
          <w:color w:val="000000"/>
        </w:rPr>
        <w:t>
подлежат мониторингу сделок и участниками сделок, осуществляющими</w:t>
      </w:r>
      <w:r>
        <w:br/>
      </w:r>
      <w:r>
        <w:rPr>
          <w:rFonts w:ascii="Times New Roman"/>
          <w:b/>
          <w:i w:val="false"/>
          <w:color w:val="000000"/>
        </w:rPr>
        <w:t>
сделки с товарами, которые не подлежат мониторингу сделок</w:t>
      </w:r>
    </w:p>
    <w:bookmarkEnd w:id="9"/>
    <w:p>
      <w:pPr>
        <w:spacing w:after="0"/>
        <w:ind w:left="0"/>
        <w:jc w:val="both"/>
      </w:pPr>
      <w:r>
        <w:rPr>
          <w:rFonts w:ascii="Times New Roman"/>
          <w:b w:val="false"/>
          <w:i w:val="false"/>
          <w:color w:val="ff0000"/>
          <w:sz w:val="28"/>
        </w:rPr>
        <w:t xml:space="preserve">      Сноска. Правила дополнены главой 4 в соответствии с приказом Министра финансов РК от 09.06.2011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34" w:id="10"/>
    <w:p>
      <w:pPr>
        <w:spacing w:after="0"/>
        <w:ind w:left="0"/>
        <w:jc w:val="both"/>
      </w:pPr>
      <w:r>
        <w:rPr>
          <w:rFonts w:ascii="Times New Roman"/>
          <w:b w:val="false"/>
          <w:i w:val="false"/>
          <w:color w:val="000000"/>
          <w:sz w:val="28"/>
        </w:rPr>
        <w:t>
      21. Участники сделок, в том числе осуществляющие сделки с товарами, которые не подлежат мониторингу сделок в соответствии с </w:t>
      </w:r>
      <w:r>
        <w:rPr>
          <w:rFonts w:ascii="Times New Roman"/>
          <w:b w:val="false"/>
          <w:i w:val="false"/>
          <w:color w:val="000000"/>
          <w:sz w:val="28"/>
        </w:rPr>
        <w:t>Законом</w:t>
      </w:r>
      <w:r>
        <w:rPr>
          <w:rFonts w:ascii="Times New Roman"/>
          <w:b w:val="false"/>
          <w:i w:val="false"/>
          <w:color w:val="000000"/>
          <w:sz w:val="28"/>
        </w:rPr>
        <w:t>, ведут документацию, подтверждающую обоснованность применяемой цены, и по запросу уполномоченных органов представляют ее в уполномоченные органы.</w:t>
      </w:r>
      <w:r>
        <w:br/>
      </w:r>
      <w:r>
        <w:rPr>
          <w:rFonts w:ascii="Times New Roman"/>
          <w:b w:val="false"/>
          <w:i w:val="false"/>
          <w:color w:val="000000"/>
          <w:sz w:val="28"/>
        </w:rPr>
        <w:t>
</w:t>
      </w:r>
      <w:r>
        <w:rPr>
          <w:rFonts w:ascii="Times New Roman"/>
          <w:b w:val="false"/>
          <w:i w:val="false"/>
          <w:color w:val="000000"/>
          <w:sz w:val="28"/>
        </w:rPr>
        <w:t>
      22. В обоснование применяемых цен в международных деловых операциях участники сделок ведут следующую документацию, но не ограничиваются нижеуказанной документацией:</w:t>
      </w:r>
      <w:r>
        <w:br/>
      </w:r>
      <w:r>
        <w:rPr>
          <w:rFonts w:ascii="Times New Roman"/>
          <w:b w:val="false"/>
          <w:i w:val="false"/>
          <w:color w:val="000000"/>
          <w:sz w:val="28"/>
        </w:rPr>
        <w:t>
      контракты (договоры) по реализации товаров (с дополнениями и изменениями);</w:t>
      </w:r>
      <w:r>
        <w:br/>
      </w:r>
      <w:r>
        <w:rPr>
          <w:rFonts w:ascii="Times New Roman"/>
          <w:b w:val="false"/>
          <w:i w:val="false"/>
          <w:color w:val="000000"/>
          <w:sz w:val="28"/>
        </w:rPr>
        <w:t>
      сведения об инвестициях (долях, акциях) в компаниях Республики Казахстан и зарубежных стран;</w:t>
      </w:r>
      <w:r>
        <w:br/>
      </w:r>
      <w:r>
        <w:rPr>
          <w:rFonts w:ascii="Times New Roman"/>
          <w:b w:val="false"/>
          <w:i w:val="false"/>
          <w:color w:val="000000"/>
          <w:sz w:val="28"/>
        </w:rPr>
        <w:t>
      декларации по корпоративному подоходному налогу (с приложениями);</w:t>
      </w:r>
      <w:r>
        <w:br/>
      </w:r>
      <w:r>
        <w:rPr>
          <w:rFonts w:ascii="Times New Roman"/>
          <w:b w:val="false"/>
          <w:i w:val="false"/>
          <w:color w:val="000000"/>
          <w:sz w:val="28"/>
        </w:rPr>
        <w:t>
      счета-фактуры (инвойсы), акты приема-передачи товаров;</w:t>
      </w:r>
      <w:r>
        <w:br/>
      </w:r>
      <w:r>
        <w:rPr>
          <w:rFonts w:ascii="Times New Roman"/>
          <w:b w:val="false"/>
          <w:i w:val="false"/>
          <w:color w:val="000000"/>
          <w:sz w:val="28"/>
        </w:rPr>
        <w:t>
      выписки из банка по поступлениям от экспорта товаров;</w:t>
      </w:r>
      <w:r>
        <w:br/>
      </w:r>
      <w:r>
        <w:rPr>
          <w:rFonts w:ascii="Times New Roman"/>
          <w:b w:val="false"/>
          <w:i w:val="false"/>
          <w:color w:val="000000"/>
          <w:sz w:val="28"/>
        </w:rPr>
        <w:t>
      декларации на товары (с оборотными сторонами);</w:t>
      </w:r>
      <w:r>
        <w:br/>
      </w:r>
      <w:r>
        <w:rPr>
          <w:rFonts w:ascii="Times New Roman"/>
          <w:b w:val="false"/>
          <w:i w:val="false"/>
          <w:color w:val="000000"/>
          <w:sz w:val="28"/>
        </w:rPr>
        <w:t>
      паспорта сделок;</w:t>
      </w:r>
      <w:r>
        <w:br/>
      </w:r>
      <w:r>
        <w:rPr>
          <w:rFonts w:ascii="Times New Roman"/>
          <w:b w:val="false"/>
          <w:i w:val="false"/>
          <w:color w:val="000000"/>
          <w:sz w:val="28"/>
        </w:rPr>
        <w:t>
      сертификаты качества товаров;</w:t>
      </w:r>
      <w:r>
        <w:br/>
      </w:r>
      <w:r>
        <w:rPr>
          <w:rFonts w:ascii="Times New Roman"/>
          <w:b w:val="false"/>
          <w:i w:val="false"/>
          <w:color w:val="000000"/>
          <w:sz w:val="28"/>
        </w:rPr>
        <w:t>
      сертификаты происхождения товаров;</w:t>
      </w:r>
      <w:r>
        <w:br/>
      </w:r>
      <w:r>
        <w:rPr>
          <w:rFonts w:ascii="Times New Roman"/>
          <w:b w:val="false"/>
          <w:i w:val="false"/>
          <w:color w:val="000000"/>
          <w:sz w:val="28"/>
        </w:rPr>
        <w:t>
      источники информации, используемые для определения рыночной цены;</w:t>
      </w:r>
      <w:r>
        <w:br/>
      </w:r>
      <w:r>
        <w:rPr>
          <w:rFonts w:ascii="Times New Roman"/>
          <w:b w:val="false"/>
          <w:i w:val="false"/>
          <w:color w:val="000000"/>
          <w:sz w:val="28"/>
        </w:rPr>
        <w:t>
      информация о методе, применяемом для определения рыночной цены;</w:t>
      </w:r>
      <w:r>
        <w:br/>
      </w:r>
      <w:r>
        <w:rPr>
          <w:rFonts w:ascii="Times New Roman"/>
          <w:b w:val="false"/>
          <w:i w:val="false"/>
          <w:color w:val="000000"/>
          <w:sz w:val="28"/>
        </w:rPr>
        <w:t>
      другие документы, обосновывающие правильность применения цен и подтверждающие расходы по реализации товаров (транспортировка товара, страхование, на оплату услуг посредника, расходы по перевалке в портах, фрахт судна, подтверждающие таможенные платежи и налоги, железнодорожные и другие транспортные накладные, морские коносаменты, подтверждающие скидки и надбавки за качество, и другие расходы).</w:t>
      </w:r>
    </w:p>
    <w:bookmarkEnd w:id="10"/>
    <w:bookmarkStart w:name="z132"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мониторинга сделок    </w:t>
      </w:r>
    </w:p>
    <w:bookmarkEnd w:id="11"/>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09.06.2011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37" w:id="12"/>
    <w:p>
      <w:pPr>
        <w:spacing w:after="0"/>
        <w:ind w:left="0"/>
        <w:jc w:val="both"/>
      </w:pPr>
      <w:r>
        <w:rPr>
          <w:rFonts w:ascii="Times New Roman"/>
          <w:b w:val="false"/>
          <w:i w:val="false"/>
          <w:color w:val="000000"/>
          <w:sz w:val="28"/>
        </w:rPr>
        <w:t xml:space="preserve">
Форма            </w:t>
      </w:r>
    </w:p>
    <w:bookmarkEnd w:id="12"/>
    <w:bookmarkStart w:name="z138" w:id="13"/>
    <w:p>
      <w:pPr>
        <w:spacing w:after="0"/>
        <w:ind w:left="0"/>
        <w:jc w:val="both"/>
      </w:pPr>
      <w:r>
        <w:rPr>
          <w:rFonts w:ascii="Times New Roman"/>
          <w:b w:val="false"/>
          <w:i w:val="false"/>
          <w:color w:val="000000"/>
          <w:sz w:val="28"/>
        </w:rPr>
        <w:t>
 </w:t>
      </w:r>
      <w:r>
        <w:rPr>
          <w:rFonts w:ascii="Times New Roman"/>
          <w:b/>
          <w:i w:val="false"/>
          <w:color w:val="000000"/>
          <w:sz w:val="28"/>
        </w:rPr>
        <w:t>Отчетность по мониторингу сделок "Экспорт товаров (работ, услуг)"</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09"/>
        <w:gridCol w:w="807"/>
        <w:gridCol w:w="2240"/>
        <w:gridCol w:w="1689"/>
        <w:gridCol w:w="2042"/>
        <w:gridCol w:w="2042"/>
        <w:gridCol w:w="1116"/>
        <w:gridCol w:w="2176"/>
      </w:tblGrid>
      <w:tr>
        <w:trPr>
          <w:trHeight w:val="8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БИН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отправителя</w:t>
            </w:r>
            <w:r>
              <w:br/>
            </w:r>
            <w:r>
              <w:rPr>
                <w:rFonts w:ascii="Times New Roman"/>
                <w:b w:val="false"/>
                <w:i w:val="false"/>
                <w:color w:val="000000"/>
                <w:sz w:val="20"/>
              </w:rPr>
              <w:t>
</w:t>
            </w:r>
            <w:r>
              <w:rPr>
                <w:rFonts w:ascii="Times New Roman"/>
                <w:b w:val="false"/>
                <w:i w:val="false"/>
                <w:color w:val="000000"/>
                <w:sz w:val="20"/>
              </w:rPr>
              <w:t>(экспортера)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w:t>
            </w:r>
            <w:r>
              <w:br/>
            </w:r>
            <w:r>
              <w:rPr>
                <w:rFonts w:ascii="Times New Roman"/>
                <w:b w:val="false"/>
                <w:i w:val="false"/>
                <w:color w:val="000000"/>
                <w:sz w:val="20"/>
              </w:rPr>
              <w:t>
</w:t>
            </w:r>
            <w:r>
              <w:rPr>
                <w:rFonts w:ascii="Times New Roman"/>
                <w:b w:val="false"/>
                <w:i w:val="false"/>
                <w:color w:val="000000"/>
                <w:sz w:val="20"/>
              </w:rPr>
              <w:t>период</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декларации</w:t>
            </w:r>
            <w:r>
              <w:br/>
            </w:r>
            <w:r>
              <w:rPr>
                <w:rFonts w:ascii="Times New Roman"/>
                <w:b w:val="false"/>
                <w:i w:val="false"/>
                <w:color w:val="000000"/>
                <w:sz w:val="20"/>
              </w:rPr>
              <w:t>
</w:t>
            </w: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(Заявления)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декларации</w:t>
            </w:r>
            <w:r>
              <w:br/>
            </w:r>
            <w:r>
              <w:rPr>
                <w:rFonts w:ascii="Times New Roman"/>
                <w:b w:val="false"/>
                <w:i w:val="false"/>
                <w:color w:val="000000"/>
                <w:sz w:val="20"/>
              </w:rPr>
              <w:t>
</w:t>
            </w: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(Заявления)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w:t>
            </w:r>
            <w:r>
              <w:br/>
            </w:r>
            <w:r>
              <w:rPr>
                <w:rFonts w:ascii="Times New Roman"/>
                <w:b w:val="false"/>
                <w:i w:val="false"/>
                <w:color w:val="000000"/>
                <w:sz w:val="20"/>
              </w:rPr>
              <w:t>
</w:t>
            </w:r>
            <w:r>
              <w:rPr>
                <w:rFonts w:ascii="Times New Roman"/>
                <w:b w:val="false"/>
                <w:i w:val="false"/>
                <w:color w:val="000000"/>
                <w:sz w:val="20"/>
              </w:rPr>
              <w:t>ВЭД ТС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313"/>
        <w:gridCol w:w="2653"/>
        <w:gridCol w:w="2473"/>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Качественные</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 услуги)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Репутация на</w:t>
            </w:r>
            <w:r>
              <w:br/>
            </w:r>
            <w:r>
              <w:rPr>
                <w:rFonts w:ascii="Times New Roman"/>
                <w:b w:val="false"/>
                <w:i w:val="false"/>
                <w:color w:val="000000"/>
                <w:sz w:val="20"/>
              </w:rPr>
              <w:t>
</w:t>
            </w:r>
            <w:r>
              <w:rPr>
                <w:rFonts w:ascii="Times New Roman"/>
                <w:b w:val="false"/>
                <w:i w:val="false"/>
                <w:color w:val="000000"/>
                <w:sz w:val="20"/>
              </w:rPr>
              <w:t>рынке товаров</w:t>
            </w:r>
            <w:r>
              <w:br/>
            </w:r>
            <w:r>
              <w:rPr>
                <w:rFonts w:ascii="Times New Roman"/>
                <w:b w:val="false"/>
                <w:i w:val="false"/>
                <w:color w:val="000000"/>
                <w:sz w:val="20"/>
              </w:rPr>
              <w:t>
</w:t>
            </w:r>
            <w:r>
              <w:rPr>
                <w:rFonts w:ascii="Times New Roman"/>
                <w:b w:val="false"/>
                <w:i w:val="false"/>
                <w:color w:val="000000"/>
                <w:sz w:val="20"/>
              </w:rPr>
              <w:t>(работ, услуг)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отправления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 услуги)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транспортировки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происхождения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 услуги)</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1928"/>
        <w:gridCol w:w="1842"/>
        <w:gridCol w:w="1606"/>
        <w:gridCol w:w="2703"/>
        <w:gridCol w:w="2015"/>
      </w:tblGrid>
      <w:tr>
        <w:trPr>
          <w:trHeight w:val="1755"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товарного</w:t>
            </w:r>
            <w:r>
              <w:br/>
            </w:r>
            <w:r>
              <w:rPr>
                <w:rFonts w:ascii="Times New Roman"/>
                <w:b w:val="false"/>
                <w:i w:val="false"/>
                <w:color w:val="000000"/>
                <w:sz w:val="20"/>
              </w:rPr>
              <w:t>
</w:t>
            </w:r>
            <w:r>
              <w:rPr>
                <w:rFonts w:ascii="Times New Roman"/>
                <w:b w:val="false"/>
                <w:i w:val="false"/>
                <w:color w:val="000000"/>
                <w:sz w:val="20"/>
              </w:rPr>
              <w:t>знака</w:t>
            </w:r>
            <w:r>
              <w:br/>
            </w:r>
            <w:r>
              <w:rPr>
                <w:rFonts w:ascii="Times New Roman"/>
                <w:b w:val="false"/>
                <w:i w:val="false"/>
                <w:color w:val="000000"/>
                <w:sz w:val="20"/>
              </w:rPr>
              <w:t>
</w:t>
            </w:r>
            <w:r>
              <w:rPr>
                <w:rFonts w:ascii="Times New Roman"/>
                <w:b w:val="false"/>
                <w:i w:val="false"/>
                <w:color w:val="000000"/>
                <w:sz w:val="20"/>
              </w:rPr>
              <w:t>(торговой</w:t>
            </w:r>
            <w:r>
              <w:br/>
            </w:r>
            <w:r>
              <w:rPr>
                <w:rFonts w:ascii="Times New Roman"/>
                <w:b w:val="false"/>
                <w:i w:val="false"/>
                <w:color w:val="000000"/>
                <w:sz w:val="20"/>
              </w:rPr>
              <w:t>
</w:t>
            </w: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бренда)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ИНКОТЕРМС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отгрузки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отгрузки</w:t>
            </w:r>
            <w:r>
              <w:br/>
            </w:r>
            <w:r>
              <w:rPr>
                <w:rFonts w:ascii="Times New Roman"/>
                <w:b w:val="false"/>
                <w:i w:val="false"/>
                <w:color w:val="000000"/>
                <w:sz w:val="20"/>
              </w:rPr>
              <w:t>
</w:t>
            </w:r>
            <w:r>
              <w:rPr>
                <w:rFonts w:ascii="Times New Roman"/>
                <w:b w:val="false"/>
                <w:i w:val="false"/>
                <w:color w:val="000000"/>
                <w:sz w:val="20"/>
              </w:rPr>
              <w:t>товара (работы,</w:t>
            </w:r>
            <w:r>
              <w:br/>
            </w:r>
            <w:r>
              <w:rPr>
                <w:rFonts w:ascii="Times New Roman"/>
                <w:b w:val="false"/>
                <w:i w:val="false"/>
                <w:color w:val="000000"/>
                <w:sz w:val="20"/>
              </w:rPr>
              <w:t>
</w:t>
            </w:r>
            <w:r>
              <w:rPr>
                <w:rFonts w:ascii="Times New Roman"/>
                <w:b w:val="false"/>
                <w:i w:val="false"/>
                <w:color w:val="000000"/>
                <w:sz w:val="20"/>
              </w:rPr>
              <w:t>услуги)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27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033"/>
        <w:gridCol w:w="1993"/>
        <w:gridCol w:w="1973"/>
        <w:gridCol w:w="1553"/>
        <w:gridCol w:w="321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доставки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покупателя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покупателя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покупателя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Торгующая</w:t>
            </w:r>
            <w:r>
              <w:br/>
            </w:r>
            <w:r>
              <w:rPr>
                <w:rFonts w:ascii="Times New Roman"/>
                <w:b w:val="false"/>
                <w:i w:val="false"/>
                <w:color w:val="000000"/>
                <w:sz w:val="20"/>
              </w:rPr>
              <w:t>
</w:t>
            </w:r>
            <w:r>
              <w:rPr>
                <w:rFonts w:ascii="Times New Roman"/>
                <w:b w:val="false"/>
                <w:i w:val="false"/>
                <w:color w:val="000000"/>
                <w:sz w:val="20"/>
              </w:rPr>
              <w:t>страна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w:t>
            </w:r>
            <w:r>
              <w:br/>
            </w:r>
            <w:r>
              <w:rPr>
                <w:rFonts w:ascii="Times New Roman"/>
                <w:b w:val="false"/>
                <w:i w:val="false"/>
                <w:color w:val="000000"/>
                <w:sz w:val="20"/>
              </w:rPr>
              <w:t>
</w:t>
            </w:r>
            <w:r>
              <w:rPr>
                <w:rFonts w:ascii="Times New Roman"/>
                <w:b w:val="false"/>
                <w:i w:val="false"/>
                <w:color w:val="000000"/>
                <w:sz w:val="20"/>
              </w:rPr>
              <w:t>взаимосвязанности</w:t>
            </w:r>
            <w:r>
              <w:br/>
            </w:r>
            <w:r>
              <w:rPr>
                <w:rFonts w:ascii="Times New Roman"/>
                <w:b w:val="false"/>
                <w:i w:val="false"/>
                <w:color w:val="000000"/>
                <w:sz w:val="20"/>
              </w:rPr>
              <w:t>
</w:t>
            </w:r>
            <w:r>
              <w:rPr>
                <w:rFonts w:ascii="Times New Roman"/>
                <w:b w:val="false"/>
                <w:i w:val="false"/>
                <w:color w:val="000000"/>
                <w:sz w:val="20"/>
              </w:rPr>
              <w:t>сторон (продавца</w:t>
            </w:r>
            <w:r>
              <w:br/>
            </w:r>
            <w:r>
              <w:rPr>
                <w:rFonts w:ascii="Times New Roman"/>
                <w:b w:val="false"/>
                <w:i w:val="false"/>
                <w:color w:val="000000"/>
                <w:sz w:val="20"/>
              </w:rPr>
              <w:t>
</w:t>
            </w:r>
            <w:r>
              <w:rPr>
                <w:rFonts w:ascii="Times New Roman"/>
                <w:b w:val="false"/>
                <w:i w:val="false"/>
                <w:color w:val="000000"/>
                <w:sz w:val="20"/>
              </w:rPr>
              <w:t>и покупателя)</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2096"/>
        <w:gridCol w:w="1559"/>
        <w:gridCol w:w="1839"/>
        <w:gridCol w:w="1796"/>
        <w:gridCol w:w="1817"/>
        <w:gridCol w:w="2270"/>
      </w:tblGrid>
      <w:tr>
        <w:trPr>
          <w:trHeight w:val="114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 счета-</w:t>
            </w:r>
            <w:r>
              <w:br/>
            </w:r>
            <w:r>
              <w:rPr>
                <w:rFonts w:ascii="Times New Roman"/>
                <w:b w:val="false"/>
                <w:i w:val="false"/>
                <w:color w:val="000000"/>
                <w:sz w:val="20"/>
              </w:rPr>
              <w:t>
</w:t>
            </w:r>
            <w:r>
              <w:rPr>
                <w:rFonts w:ascii="Times New Roman"/>
                <w:b w:val="false"/>
                <w:i w:val="false"/>
                <w:color w:val="000000"/>
                <w:sz w:val="20"/>
              </w:rPr>
              <w:t>фактуры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r>
              <w:br/>
            </w:r>
            <w:r>
              <w:rPr>
                <w:rFonts w:ascii="Times New Roman"/>
                <w:b w:val="false"/>
                <w:i w:val="false"/>
                <w:color w:val="000000"/>
                <w:sz w:val="20"/>
              </w:rPr>
              <w:t>
</w:t>
            </w:r>
            <w:r>
              <w:rPr>
                <w:rFonts w:ascii="Times New Roman"/>
                <w:b w:val="false"/>
                <w:i w:val="false"/>
                <w:color w:val="000000"/>
                <w:sz w:val="20"/>
              </w:rPr>
              <w:t>товара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товара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сделки</w:t>
            </w:r>
            <w:r>
              <w:br/>
            </w:r>
            <w:r>
              <w:rPr>
                <w:rFonts w:ascii="Times New Roman"/>
                <w:b w:val="false"/>
                <w:i w:val="false"/>
                <w:color w:val="000000"/>
                <w:sz w:val="20"/>
              </w:rPr>
              <w:t>
</w:t>
            </w: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r>
      <w:tr>
        <w:trPr>
          <w:trHeight w:val="27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030"/>
        <w:gridCol w:w="2629"/>
        <w:gridCol w:w="2111"/>
        <w:gridCol w:w="2306"/>
        <w:gridCol w:w="1851"/>
        <w:gridCol w:w="1680"/>
      </w:tblGrid>
      <w:tr>
        <w:trPr>
          <w:trHeight w:val="1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w:t>
            </w:r>
            <w:r>
              <w:rPr>
                <w:rFonts w:ascii="Times New Roman"/>
                <w:b w:val="false"/>
                <w:i w:val="false"/>
                <w:color w:val="000000"/>
                <w:sz w:val="20"/>
              </w:rPr>
              <w:t>тенге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Методология</w:t>
            </w:r>
            <w:r>
              <w:br/>
            </w:r>
            <w:r>
              <w:rPr>
                <w:rFonts w:ascii="Times New Roman"/>
                <w:b w:val="false"/>
                <w:i w:val="false"/>
                <w:color w:val="000000"/>
                <w:sz w:val="20"/>
              </w:rPr>
              <w:t>
</w:t>
            </w:r>
            <w:r>
              <w:rPr>
                <w:rFonts w:ascii="Times New Roman"/>
                <w:b w:val="false"/>
                <w:i w:val="false"/>
                <w:color w:val="000000"/>
                <w:sz w:val="20"/>
              </w:rPr>
              <w:t>трансфертного</w:t>
            </w:r>
            <w:r>
              <w:br/>
            </w:r>
            <w:r>
              <w:rPr>
                <w:rFonts w:ascii="Times New Roman"/>
                <w:b w:val="false"/>
                <w:i w:val="false"/>
                <w:color w:val="000000"/>
                <w:sz w:val="20"/>
              </w:rPr>
              <w:t>
</w:t>
            </w:r>
            <w:r>
              <w:rPr>
                <w:rFonts w:ascii="Times New Roman"/>
                <w:b w:val="false"/>
                <w:i w:val="false"/>
                <w:color w:val="000000"/>
                <w:sz w:val="20"/>
              </w:rPr>
              <w:t>ценообразования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w:t>
            </w:r>
            <w:r>
              <w:br/>
            </w:r>
            <w:r>
              <w:rPr>
                <w:rFonts w:ascii="Times New Roman"/>
                <w:b w:val="false"/>
                <w:i w:val="false"/>
                <w:color w:val="000000"/>
                <w:sz w:val="20"/>
              </w:rPr>
              <w:t>
</w:t>
            </w:r>
            <w:r>
              <w:rPr>
                <w:rFonts w:ascii="Times New Roman"/>
                <w:b w:val="false"/>
                <w:i w:val="false"/>
                <w:color w:val="000000"/>
                <w:sz w:val="20"/>
              </w:rPr>
              <w:t>влияющие на</w:t>
            </w:r>
            <w:r>
              <w:br/>
            </w:r>
            <w:r>
              <w:rPr>
                <w:rFonts w:ascii="Times New Roman"/>
                <w:b w:val="false"/>
                <w:i w:val="false"/>
                <w:color w:val="000000"/>
                <w:sz w:val="20"/>
              </w:rPr>
              <w:t>
</w:t>
            </w:r>
            <w:r>
              <w:rPr>
                <w:rFonts w:ascii="Times New Roman"/>
                <w:b w:val="false"/>
                <w:i w:val="false"/>
                <w:color w:val="000000"/>
                <w:sz w:val="20"/>
              </w:rPr>
              <w:t>установление</w:t>
            </w:r>
            <w:r>
              <w:br/>
            </w:r>
            <w:r>
              <w:rPr>
                <w:rFonts w:ascii="Times New Roman"/>
                <w:b w:val="false"/>
                <w:i w:val="false"/>
                <w:color w:val="000000"/>
                <w:sz w:val="20"/>
              </w:rPr>
              <w:t>
</w:t>
            </w:r>
            <w:r>
              <w:rPr>
                <w:rFonts w:ascii="Times New Roman"/>
                <w:b w:val="false"/>
                <w:i w:val="false"/>
                <w:color w:val="000000"/>
                <w:sz w:val="20"/>
              </w:rPr>
              <w:t>цены сделки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применяемый</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определения</w:t>
            </w:r>
            <w:r>
              <w:br/>
            </w:r>
            <w:r>
              <w:rPr>
                <w:rFonts w:ascii="Times New Roman"/>
                <w:b w:val="false"/>
                <w:i w:val="false"/>
                <w:color w:val="000000"/>
                <w:sz w:val="20"/>
              </w:rPr>
              <w:t>
</w:t>
            </w:r>
            <w:r>
              <w:rPr>
                <w:rFonts w:ascii="Times New Roman"/>
                <w:b w:val="false"/>
                <w:i w:val="false"/>
                <w:color w:val="000000"/>
                <w:sz w:val="20"/>
              </w:rPr>
              <w:t>рыночной цены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Дифферен-</w:t>
            </w:r>
            <w:r>
              <w:br/>
            </w:r>
            <w:r>
              <w:rPr>
                <w:rFonts w:ascii="Times New Roman"/>
                <w:b w:val="false"/>
                <w:i w:val="false"/>
                <w:color w:val="000000"/>
                <w:sz w:val="20"/>
              </w:rPr>
              <w:t>
</w:t>
            </w:r>
            <w:r>
              <w:rPr>
                <w:rFonts w:ascii="Times New Roman"/>
                <w:b w:val="false"/>
                <w:i w:val="false"/>
                <w:color w:val="000000"/>
                <w:sz w:val="20"/>
              </w:rPr>
              <w:t>циал</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3630"/>
        <w:gridCol w:w="1578"/>
        <w:gridCol w:w="3144"/>
        <w:gridCol w:w="3377"/>
      </w:tblGrid>
      <w:tr>
        <w:trPr>
          <w:trHeight w:val="1605"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участника сделки</w:t>
            </w:r>
            <w:r>
              <w:br/>
            </w:r>
            <w:r>
              <w:rPr>
                <w:rFonts w:ascii="Times New Roman"/>
                <w:b w:val="false"/>
                <w:i w:val="false"/>
                <w:color w:val="000000"/>
                <w:sz w:val="20"/>
              </w:rPr>
              <w:t>
</w:t>
            </w:r>
            <w:r>
              <w:rPr>
                <w:rFonts w:ascii="Times New Roman"/>
                <w:b w:val="false"/>
                <w:i w:val="false"/>
                <w:color w:val="000000"/>
                <w:sz w:val="20"/>
              </w:rPr>
              <w:t>(экспортера), отрасли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условий рынка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r>
              <w:br/>
            </w:r>
            <w:r>
              <w:rPr>
                <w:rFonts w:ascii="Times New Roman"/>
                <w:b w:val="false"/>
                <w:i w:val="false"/>
                <w:color w:val="000000"/>
                <w:sz w:val="20"/>
              </w:rPr>
              <w:t>
</w:t>
            </w:r>
            <w:r>
              <w:rPr>
                <w:rFonts w:ascii="Times New Roman"/>
                <w:b w:val="false"/>
                <w:i w:val="false"/>
                <w:color w:val="000000"/>
                <w:sz w:val="20"/>
              </w:rPr>
              <w:t>бизнеса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Другая информация,</w:t>
            </w:r>
            <w:r>
              <w:br/>
            </w:r>
            <w:r>
              <w:rPr>
                <w:rFonts w:ascii="Times New Roman"/>
                <w:b w:val="false"/>
                <w:i w:val="false"/>
                <w:color w:val="000000"/>
                <w:sz w:val="20"/>
              </w:rPr>
              <w:t>
</w:t>
            </w:r>
            <w:r>
              <w:rPr>
                <w:rFonts w:ascii="Times New Roman"/>
                <w:b w:val="false"/>
                <w:i w:val="false"/>
                <w:color w:val="000000"/>
                <w:sz w:val="20"/>
              </w:rPr>
              <w:t>обосновывающая</w:t>
            </w:r>
            <w:r>
              <w:br/>
            </w:r>
            <w:r>
              <w:rPr>
                <w:rFonts w:ascii="Times New Roman"/>
                <w:b w:val="false"/>
                <w:i w:val="false"/>
                <w:color w:val="000000"/>
                <w:sz w:val="20"/>
              </w:rPr>
              <w:t>
</w:t>
            </w:r>
            <w:r>
              <w:rPr>
                <w:rFonts w:ascii="Times New Roman"/>
                <w:b w:val="false"/>
                <w:i w:val="false"/>
                <w:color w:val="000000"/>
                <w:sz w:val="20"/>
              </w:rPr>
              <w:t>правильность</w:t>
            </w:r>
            <w:r>
              <w:br/>
            </w:r>
            <w:r>
              <w:rPr>
                <w:rFonts w:ascii="Times New Roman"/>
                <w:b w:val="false"/>
                <w:i w:val="false"/>
                <w:color w:val="000000"/>
                <w:sz w:val="20"/>
              </w:rPr>
              <w:t>
</w:t>
            </w:r>
            <w:r>
              <w:rPr>
                <w:rFonts w:ascii="Times New Roman"/>
                <w:b w:val="false"/>
                <w:i w:val="false"/>
                <w:color w:val="000000"/>
                <w:sz w:val="20"/>
              </w:rPr>
              <w:t>применения цены</w:t>
            </w:r>
            <w:r>
              <w:br/>
            </w:r>
            <w:r>
              <w:rPr>
                <w:rFonts w:ascii="Times New Roman"/>
                <w:b w:val="false"/>
                <w:i w:val="false"/>
                <w:color w:val="000000"/>
                <w:sz w:val="20"/>
              </w:rPr>
              <w:t>
</w:t>
            </w:r>
            <w:r>
              <w:rPr>
                <w:rFonts w:ascii="Times New Roman"/>
                <w:b w:val="false"/>
                <w:i w:val="false"/>
                <w:color w:val="000000"/>
                <w:sz w:val="20"/>
              </w:rPr>
              <w:t>сделки товара</w:t>
            </w:r>
            <w:r>
              <w:br/>
            </w:r>
            <w:r>
              <w:rPr>
                <w:rFonts w:ascii="Times New Roman"/>
                <w:b w:val="false"/>
                <w:i w:val="false"/>
                <w:color w:val="000000"/>
                <w:sz w:val="20"/>
              </w:rPr>
              <w:t>
</w:t>
            </w:r>
            <w:r>
              <w:rPr>
                <w:rFonts w:ascii="Times New Roman"/>
                <w:b w:val="false"/>
                <w:i w:val="false"/>
                <w:color w:val="000000"/>
                <w:sz w:val="20"/>
              </w:rPr>
              <w:t>(работы, услуги)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Другая информация,</w:t>
            </w:r>
            <w:r>
              <w:br/>
            </w:r>
            <w:r>
              <w:rPr>
                <w:rFonts w:ascii="Times New Roman"/>
                <w:b w:val="false"/>
                <w:i w:val="false"/>
                <w:color w:val="000000"/>
                <w:sz w:val="20"/>
              </w:rPr>
              <w:t>
</w:t>
            </w:r>
            <w:r>
              <w:rPr>
                <w:rFonts w:ascii="Times New Roman"/>
                <w:b w:val="false"/>
                <w:i w:val="false"/>
                <w:color w:val="000000"/>
                <w:sz w:val="20"/>
              </w:rPr>
              <w:t>влияющая на</w:t>
            </w:r>
            <w:r>
              <w:br/>
            </w:r>
            <w:r>
              <w:rPr>
                <w:rFonts w:ascii="Times New Roman"/>
                <w:b w:val="false"/>
                <w:i w:val="false"/>
                <w:color w:val="000000"/>
                <w:sz w:val="20"/>
              </w:rPr>
              <w:t>
</w:t>
            </w:r>
            <w:r>
              <w:rPr>
                <w:rFonts w:ascii="Times New Roman"/>
                <w:b w:val="false"/>
                <w:i w:val="false"/>
                <w:color w:val="000000"/>
                <w:sz w:val="20"/>
              </w:rPr>
              <w:t>величину отклонения</w:t>
            </w:r>
            <w:r>
              <w:br/>
            </w:r>
            <w:r>
              <w:rPr>
                <w:rFonts w:ascii="Times New Roman"/>
                <w:b w:val="false"/>
                <w:i w:val="false"/>
                <w:color w:val="000000"/>
                <w:sz w:val="20"/>
              </w:rPr>
              <w:t>
</w:t>
            </w:r>
            <w:r>
              <w:rPr>
                <w:rFonts w:ascii="Times New Roman"/>
                <w:b w:val="false"/>
                <w:i w:val="false"/>
                <w:color w:val="000000"/>
                <w:sz w:val="20"/>
              </w:rPr>
              <w:t>цены сделки товара</w:t>
            </w:r>
            <w:r>
              <w:br/>
            </w:r>
            <w:r>
              <w:rPr>
                <w:rFonts w:ascii="Times New Roman"/>
                <w:b w:val="false"/>
                <w:i w:val="false"/>
                <w:color w:val="000000"/>
                <w:sz w:val="20"/>
              </w:rPr>
              <w:t>
</w:t>
            </w:r>
            <w:r>
              <w:rPr>
                <w:rFonts w:ascii="Times New Roman"/>
                <w:b w:val="false"/>
                <w:i w:val="false"/>
                <w:color w:val="000000"/>
                <w:sz w:val="20"/>
              </w:rPr>
              <w:t>(работы, услуги)</w:t>
            </w:r>
            <w:r>
              <w:br/>
            </w:r>
            <w:r>
              <w:rPr>
                <w:rFonts w:ascii="Times New Roman"/>
                <w:b w:val="false"/>
                <w:i w:val="false"/>
                <w:color w:val="000000"/>
                <w:sz w:val="20"/>
              </w:rPr>
              <w:t>
</w:t>
            </w:r>
            <w:r>
              <w:rPr>
                <w:rFonts w:ascii="Times New Roman"/>
                <w:b w:val="false"/>
                <w:i w:val="false"/>
                <w:color w:val="000000"/>
                <w:sz w:val="20"/>
              </w:rPr>
              <w:t>от рыночной цены</w:t>
            </w:r>
          </w:p>
        </w:tc>
      </w:tr>
      <w:tr>
        <w:trPr>
          <w:trHeight w:val="27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613"/>
        <w:gridCol w:w="2453"/>
        <w:gridCol w:w="2533"/>
        <w:gridCol w:w="379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 цен</w:t>
            </w:r>
            <w:r>
              <w:br/>
            </w:r>
            <w:r>
              <w:rPr>
                <w:rFonts w:ascii="Times New Roman"/>
                <w:b w:val="false"/>
                <w:i w:val="false"/>
                <w:color w:val="000000"/>
                <w:sz w:val="20"/>
              </w:rPr>
              <w:t>
</w:t>
            </w: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 на</w:t>
            </w:r>
            <w:r>
              <w:br/>
            </w:r>
            <w:r>
              <w:rPr>
                <w:rFonts w:ascii="Times New Roman"/>
                <w:b w:val="false"/>
                <w:i w:val="false"/>
                <w:color w:val="000000"/>
                <w:sz w:val="20"/>
              </w:rPr>
              <w:t>
</w:t>
            </w:r>
            <w:r>
              <w:rPr>
                <w:rFonts w:ascii="Times New Roman"/>
                <w:b w:val="false"/>
                <w:i w:val="false"/>
                <w:color w:val="000000"/>
                <w:sz w:val="20"/>
              </w:rPr>
              <w:t>экспортных</w:t>
            </w:r>
            <w:r>
              <w:br/>
            </w:r>
            <w:r>
              <w:rPr>
                <w:rFonts w:ascii="Times New Roman"/>
                <w:b w:val="false"/>
                <w:i w:val="false"/>
                <w:color w:val="000000"/>
                <w:sz w:val="20"/>
              </w:rPr>
              <w:t>
</w:t>
            </w:r>
            <w:r>
              <w:rPr>
                <w:rFonts w:ascii="Times New Roman"/>
                <w:b w:val="false"/>
                <w:i w:val="false"/>
                <w:color w:val="000000"/>
                <w:sz w:val="20"/>
              </w:rPr>
              <w:t>рынках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r>
              <w:br/>
            </w:r>
            <w:r>
              <w:rPr>
                <w:rFonts w:ascii="Times New Roman"/>
                <w:b w:val="false"/>
                <w:i w:val="false"/>
                <w:color w:val="000000"/>
                <w:sz w:val="20"/>
              </w:rPr>
              <w:t>
</w:t>
            </w:r>
            <w:r>
              <w:rPr>
                <w:rFonts w:ascii="Times New Roman"/>
                <w:b w:val="false"/>
                <w:i w:val="false"/>
                <w:color w:val="000000"/>
                <w:sz w:val="20"/>
              </w:rPr>
              <w:t>ведения</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операций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стандартам</w:t>
            </w:r>
            <w:r>
              <w:br/>
            </w:r>
            <w:r>
              <w:rPr>
                <w:rFonts w:ascii="Times New Roman"/>
                <w:b w:val="false"/>
                <w:i w:val="false"/>
                <w:color w:val="000000"/>
                <w:sz w:val="20"/>
              </w:rPr>
              <w:t>
</w:t>
            </w:r>
            <w:r>
              <w:rPr>
                <w:rFonts w:ascii="Times New Roman"/>
                <w:b w:val="false"/>
                <w:i w:val="false"/>
                <w:color w:val="000000"/>
                <w:sz w:val="20"/>
              </w:rPr>
              <w:t>бухгалтерского</w:t>
            </w:r>
            <w:r>
              <w:br/>
            </w:r>
            <w:r>
              <w:rPr>
                <w:rFonts w:ascii="Times New Roman"/>
                <w:b w:val="false"/>
                <w:i w:val="false"/>
                <w:color w:val="000000"/>
                <w:sz w:val="20"/>
              </w:rPr>
              <w:t>
</w:t>
            </w:r>
            <w:r>
              <w:rPr>
                <w:rFonts w:ascii="Times New Roman"/>
                <w:b w:val="false"/>
                <w:i w:val="false"/>
                <w:color w:val="000000"/>
                <w:sz w:val="20"/>
              </w:rPr>
              <w:t>учета, 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финансовая</w:t>
            </w:r>
            <w:r>
              <w:br/>
            </w:r>
            <w:r>
              <w:rPr>
                <w:rFonts w:ascii="Times New Roman"/>
                <w:b w:val="false"/>
                <w:i w:val="false"/>
                <w:color w:val="000000"/>
                <w:sz w:val="20"/>
              </w:rPr>
              <w:t>
</w:t>
            </w:r>
            <w:r>
              <w:rPr>
                <w:rFonts w:ascii="Times New Roman"/>
                <w:b w:val="false"/>
                <w:i w:val="false"/>
                <w:color w:val="000000"/>
                <w:sz w:val="20"/>
              </w:rPr>
              <w:t>отчетность</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Функциональный</w:t>
            </w:r>
            <w:r>
              <w:br/>
            </w:r>
            <w:r>
              <w:rPr>
                <w:rFonts w:ascii="Times New Roman"/>
                <w:b w:val="false"/>
                <w:i w:val="false"/>
                <w:color w:val="000000"/>
                <w:sz w:val="20"/>
              </w:rPr>
              <w:t>
</w:t>
            </w: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анализ рисков,</w:t>
            </w:r>
            <w:r>
              <w:br/>
            </w:r>
            <w:r>
              <w:rPr>
                <w:rFonts w:ascii="Times New Roman"/>
                <w:b w:val="false"/>
                <w:i w:val="false"/>
                <w:color w:val="000000"/>
                <w:sz w:val="20"/>
              </w:rPr>
              <w:t>
</w:t>
            </w:r>
            <w:r>
              <w:rPr>
                <w:rFonts w:ascii="Times New Roman"/>
                <w:b w:val="false"/>
                <w:i w:val="false"/>
                <w:color w:val="000000"/>
                <w:sz w:val="20"/>
              </w:rPr>
              <w:t>материальных и</w:t>
            </w:r>
            <w:r>
              <w:br/>
            </w:r>
            <w:r>
              <w:rPr>
                <w:rFonts w:ascii="Times New Roman"/>
                <w:b w:val="false"/>
                <w:i w:val="false"/>
                <w:color w:val="000000"/>
                <w:sz w:val="20"/>
              </w:rPr>
              <w:t>
</w:t>
            </w:r>
            <w:r>
              <w:rPr>
                <w:rFonts w:ascii="Times New Roman"/>
                <w:b w:val="false"/>
                <w:i w:val="false"/>
                <w:color w:val="000000"/>
                <w:sz w:val="20"/>
              </w:rPr>
              <w:t>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 комиссионное</w:t>
            </w:r>
            <w:r>
              <w:br/>
            </w:r>
            <w:r>
              <w:rPr>
                <w:rFonts w:ascii="Times New Roman"/>
                <w:b w:val="false"/>
                <w:i w:val="false"/>
                <w:color w:val="000000"/>
                <w:sz w:val="20"/>
              </w:rPr>
              <w:t>
</w:t>
            </w:r>
            <w:r>
              <w:rPr>
                <w:rFonts w:ascii="Times New Roman"/>
                <w:b w:val="false"/>
                <w:i w:val="false"/>
                <w:color w:val="000000"/>
                <w:sz w:val="20"/>
              </w:rPr>
              <w:t>(агентское)</w:t>
            </w:r>
            <w:r>
              <w:br/>
            </w:r>
            <w:r>
              <w:rPr>
                <w:rFonts w:ascii="Times New Roman"/>
                <w:b w:val="false"/>
                <w:i w:val="false"/>
                <w:color w:val="000000"/>
                <w:sz w:val="20"/>
              </w:rPr>
              <w:t>
</w:t>
            </w:r>
            <w:r>
              <w:rPr>
                <w:rFonts w:ascii="Times New Roman"/>
                <w:b w:val="false"/>
                <w:i w:val="false"/>
                <w:color w:val="000000"/>
                <w:sz w:val="20"/>
              </w:rPr>
              <w:t>вознаграждение</w:t>
            </w:r>
            <w:r>
              <w:br/>
            </w:r>
            <w:r>
              <w:rPr>
                <w:rFonts w:ascii="Times New Roman"/>
                <w:b w:val="false"/>
                <w:i w:val="false"/>
                <w:color w:val="000000"/>
                <w:sz w:val="20"/>
              </w:rPr>
              <w:t>
</w:t>
            </w:r>
            <w:r>
              <w:rPr>
                <w:rFonts w:ascii="Times New Roman"/>
                <w:b w:val="false"/>
                <w:i w:val="false"/>
                <w:color w:val="000000"/>
                <w:sz w:val="20"/>
              </w:rPr>
              <w:t>торгового брокера,</w:t>
            </w:r>
            <w:r>
              <w:br/>
            </w:r>
            <w:r>
              <w:rPr>
                <w:rFonts w:ascii="Times New Roman"/>
                <w:b w:val="false"/>
                <w:i w:val="false"/>
                <w:color w:val="000000"/>
                <w:sz w:val="20"/>
              </w:rPr>
              <w:t>
</w:t>
            </w:r>
            <w:r>
              <w:rPr>
                <w:rFonts w:ascii="Times New Roman"/>
                <w:b w:val="false"/>
                <w:i w:val="false"/>
                <w:color w:val="000000"/>
                <w:sz w:val="20"/>
              </w:rPr>
              <w:t>трейдера или агента</w:t>
            </w:r>
            <w:r>
              <w:br/>
            </w:r>
            <w:r>
              <w:rPr>
                <w:rFonts w:ascii="Times New Roman"/>
                <w:b w:val="false"/>
                <w:i w:val="false"/>
                <w:color w:val="000000"/>
                <w:sz w:val="20"/>
              </w:rPr>
              <w:t>
</w:t>
            </w:r>
            <w:r>
              <w:rPr>
                <w:rFonts w:ascii="Times New Roman"/>
                <w:b w:val="false"/>
                <w:i w:val="false"/>
                <w:color w:val="000000"/>
                <w:sz w:val="20"/>
              </w:rPr>
              <w:t>либо компенсации за</w:t>
            </w:r>
            <w:r>
              <w:br/>
            </w:r>
            <w:r>
              <w:rPr>
                <w:rFonts w:ascii="Times New Roman"/>
                <w:b w:val="false"/>
                <w:i w:val="false"/>
                <w:color w:val="000000"/>
                <w:sz w:val="20"/>
              </w:rPr>
              <w:t>
</w:t>
            </w:r>
            <w:r>
              <w:rPr>
                <w:rFonts w:ascii="Times New Roman"/>
                <w:b w:val="false"/>
                <w:i w:val="false"/>
                <w:color w:val="000000"/>
                <w:sz w:val="20"/>
              </w:rPr>
              <w:t>выполнение ими</w:t>
            </w:r>
            <w:r>
              <w:br/>
            </w:r>
            <w:r>
              <w:rPr>
                <w:rFonts w:ascii="Times New Roman"/>
                <w:b w:val="false"/>
                <w:i w:val="false"/>
                <w:color w:val="000000"/>
                <w:sz w:val="20"/>
              </w:rPr>
              <w:t>
</w:t>
            </w:r>
            <w:r>
              <w:rPr>
                <w:rFonts w:ascii="Times New Roman"/>
                <w:b w:val="false"/>
                <w:i w:val="false"/>
                <w:color w:val="000000"/>
                <w:sz w:val="20"/>
              </w:rPr>
              <w:t>торгово-посреднических</w:t>
            </w:r>
            <w:r>
              <w:br/>
            </w:r>
            <w:r>
              <w:rPr>
                <w:rFonts w:ascii="Times New Roman"/>
                <w:b w:val="false"/>
                <w:i w:val="false"/>
                <w:color w:val="000000"/>
                <w:sz w:val="20"/>
              </w:rPr>
              <w:t>
</w:t>
            </w:r>
            <w:r>
              <w:rPr>
                <w:rFonts w:ascii="Times New Roman"/>
                <w:b w:val="false"/>
                <w:i w:val="false"/>
                <w:color w:val="000000"/>
                <w:sz w:val="20"/>
              </w:rPr>
              <w:t>функций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мониторинга сделок      </w:t>
      </w:r>
    </w:p>
    <w:bookmarkEnd w:id="14"/>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09.06.2011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31" w:id="15"/>
    <w:p>
      <w:pPr>
        <w:spacing w:after="0"/>
        <w:ind w:left="0"/>
        <w:jc w:val="both"/>
      </w:pPr>
      <w:r>
        <w:rPr>
          <w:rFonts w:ascii="Times New Roman"/>
          <w:b w:val="false"/>
          <w:i w:val="false"/>
          <w:color w:val="000000"/>
          <w:sz w:val="28"/>
        </w:rPr>
        <w:t xml:space="preserve">
Форма              </w:t>
      </w:r>
    </w:p>
    <w:bookmarkEnd w:id="15"/>
    <w:bookmarkStart w:name="z140" w:id="16"/>
    <w:p>
      <w:pPr>
        <w:spacing w:after="0"/>
        <w:ind w:left="0"/>
        <w:jc w:val="both"/>
      </w:pPr>
      <w:r>
        <w:rPr>
          <w:rFonts w:ascii="Times New Roman"/>
          <w:b w:val="false"/>
          <w:i w:val="false"/>
          <w:color w:val="000000"/>
          <w:sz w:val="28"/>
        </w:rPr>
        <w:t>
 </w:t>
      </w:r>
      <w:r>
        <w:rPr>
          <w:rFonts w:ascii="Times New Roman"/>
          <w:b/>
          <w:i w:val="false"/>
          <w:color w:val="000000"/>
          <w:sz w:val="28"/>
        </w:rPr>
        <w:t>Отчетность по мониторингу сделок "Импорт товаров (работ, услуг)"</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745"/>
        <w:gridCol w:w="856"/>
        <w:gridCol w:w="2052"/>
        <w:gridCol w:w="1764"/>
        <w:gridCol w:w="2052"/>
        <w:gridCol w:w="2163"/>
        <w:gridCol w:w="1122"/>
        <w:gridCol w:w="2209"/>
      </w:tblGrid>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БИН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покупателя</w:t>
            </w:r>
            <w:r>
              <w:br/>
            </w:r>
            <w:r>
              <w:rPr>
                <w:rFonts w:ascii="Times New Roman"/>
                <w:b w:val="false"/>
                <w:i w:val="false"/>
                <w:color w:val="000000"/>
                <w:sz w:val="20"/>
              </w:rPr>
              <w:t>
</w:t>
            </w:r>
            <w:r>
              <w:rPr>
                <w:rFonts w:ascii="Times New Roman"/>
                <w:b w:val="false"/>
                <w:i w:val="false"/>
                <w:color w:val="000000"/>
                <w:sz w:val="20"/>
              </w:rPr>
              <w:t>(импортера)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w:t>
            </w:r>
            <w:r>
              <w:br/>
            </w:r>
            <w:r>
              <w:rPr>
                <w:rFonts w:ascii="Times New Roman"/>
                <w:b w:val="false"/>
                <w:i w:val="false"/>
                <w:color w:val="000000"/>
                <w:sz w:val="20"/>
              </w:rPr>
              <w:t>
</w:t>
            </w:r>
            <w:r>
              <w:rPr>
                <w:rFonts w:ascii="Times New Roman"/>
                <w:b w:val="false"/>
                <w:i w:val="false"/>
                <w:color w:val="000000"/>
                <w:sz w:val="20"/>
              </w:rPr>
              <w:t>период</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декларации</w:t>
            </w:r>
            <w:r>
              <w:br/>
            </w:r>
            <w:r>
              <w:rPr>
                <w:rFonts w:ascii="Times New Roman"/>
                <w:b w:val="false"/>
                <w:i w:val="false"/>
                <w:color w:val="000000"/>
                <w:sz w:val="20"/>
              </w:rPr>
              <w:t>
</w:t>
            </w: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(Заявления)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декларации</w:t>
            </w:r>
            <w:r>
              <w:br/>
            </w:r>
            <w:r>
              <w:rPr>
                <w:rFonts w:ascii="Times New Roman"/>
                <w:b w:val="false"/>
                <w:i w:val="false"/>
                <w:color w:val="000000"/>
                <w:sz w:val="20"/>
              </w:rPr>
              <w:t>
</w:t>
            </w: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(Заявления)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w:t>
            </w:r>
            <w:r>
              <w:br/>
            </w:r>
            <w:r>
              <w:rPr>
                <w:rFonts w:ascii="Times New Roman"/>
                <w:b w:val="false"/>
                <w:i w:val="false"/>
                <w:color w:val="000000"/>
                <w:sz w:val="20"/>
              </w:rPr>
              <w:t>
</w:t>
            </w:r>
            <w:r>
              <w:rPr>
                <w:rFonts w:ascii="Times New Roman"/>
                <w:b w:val="false"/>
                <w:i w:val="false"/>
                <w:color w:val="000000"/>
                <w:sz w:val="20"/>
              </w:rPr>
              <w:t>ВЭД ТС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1612"/>
        <w:gridCol w:w="1837"/>
        <w:gridCol w:w="2494"/>
        <w:gridCol w:w="2494"/>
        <w:gridCol w:w="2082"/>
      </w:tblGrid>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Качественные</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 услуги)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Репутация</w:t>
            </w:r>
            <w:r>
              <w:br/>
            </w:r>
            <w:r>
              <w:rPr>
                <w:rFonts w:ascii="Times New Roman"/>
                <w:b w:val="false"/>
                <w:i w:val="false"/>
                <w:color w:val="000000"/>
                <w:sz w:val="20"/>
              </w:rPr>
              <w:t>
</w:t>
            </w:r>
            <w:r>
              <w:rPr>
                <w:rFonts w:ascii="Times New Roman"/>
                <w:b w:val="false"/>
                <w:i w:val="false"/>
                <w:color w:val="000000"/>
                <w:sz w:val="20"/>
              </w:rPr>
              <w:t>на рынке</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отправления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транспортировки</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происхождения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 услуги)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937"/>
        <w:gridCol w:w="1656"/>
        <w:gridCol w:w="1679"/>
        <w:gridCol w:w="1984"/>
        <w:gridCol w:w="1586"/>
        <w:gridCol w:w="2314"/>
      </w:tblGrid>
      <w:tr>
        <w:trPr>
          <w:trHeight w:val="195"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товарного</w:t>
            </w:r>
            <w:r>
              <w:br/>
            </w:r>
            <w:r>
              <w:rPr>
                <w:rFonts w:ascii="Times New Roman"/>
                <w:b w:val="false"/>
                <w:i w:val="false"/>
                <w:color w:val="000000"/>
                <w:sz w:val="20"/>
              </w:rPr>
              <w:t>
</w:t>
            </w:r>
            <w:r>
              <w:rPr>
                <w:rFonts w:ascii="Times New Roman"/>
                <w:b w:val="false"/>
                <w:i w:val="false"/>
                <w:color w:val="000000"/>
                <w:sz w:val="20"/>
              </w:rPr>
              <w:t>знака</w:t>
            </w:r>
            <w:r>
              <w:br/>
            </w:r>
            <w:r>
              <w:rPr>
                <w:rFonts w:ascii="Times New Roman"/>
                <w:b w:val="false"/>
                <w:i w:val="false"/>
                <w:color w:val="000000"/>
                <w:sz w:val="20"/>
              </w:rPr>
              <w:t>
</w:t>
            </w:r>
            <w:r>
              <w:rPr>
                <w:rFonts w:ascii="Times New Roman"/>
                <w:b w:val="false"/>
                <w:i w:val="false"/>
                <w:color w:val="000000"/>
                <w:sz w:val="20"/>
              </w:rPr>
              <w:t>(торговой</w:t>
            </w:r>
            <w:r>
              <w:br/>
            </w:r>
            <w:r>
              <w:rPr>
                <w:rFonts w:ascii="Times New Roman"/>
                <w:b w:val="false"/>
                <w:i w:val="false"/>
                <w:color w:val="000000"/>
                <w:sz w:val="20"/>
              </w:rPr>
              <w:t>
</w:t>
            </w: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бренда)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ИНКОТЕРМС</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отгрузки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отгрузки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доставки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отправителя</w:t>
            </w:r>
          </w:p>
        </w:tc>
      </w:tr>
      <w:tr>
        <w:trPr>
          <w:trHeight w:val="27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55"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1983"/>
        <w:gridCol w:w="1701"/>
        <w:gridCol w:w="3108"/>
        <w:gridCol w:w="1832"/>
        <w:gridCol w:w="1832"/>
        <w:gridCol w:w="1356"/>
      </w:tblGrid>
      <w:tr>
        <w:trPr>
          <w:trHeight w:val="195"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отправителя</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отправителя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Торгующая</w:t>
            </w:r>
            <w:r>
              <w:br/>
            </w:r>
            <w:r>
              <w:rPr>
                <w:rFonts w:ascii="Times New Roman"/>
                <w:b w:val="false"/>
                <w:i w:val="false"/>
                <w:color w:val="000000"/>
                <w:sz w:val="20"/>
              </w:rPr>
              <w:t>
</w:t>
            </w:r>
            <w:r>
              <w:rPr>
                <w:rFonts w:ascii="Times New Roman"/>
                <w:b w:val="false"/>
                <w:i w:val="false"/>
                <w:color w:val="000000"/>
                <w:sz w:val="20"/>
              </w:rPr>
              <w:t>страна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w:t>
            </w:r>
            <w:r>
              <w:br/>
            </w:r>
            <w:r>
              <w:rPr>
                <w:rFonts w:ascii="Times New Roman"/>
                <w:b w:val="false"/>
                <w:i w:val="false"/>
                <w:color w:val="000000"/>
                <w:sz w:val="20"/>
              </w:rPr>
              <w:t>
</w:t>
            </w:r>
            <w:r>
              <w:rPr>
                <w:rFonts w:ascii="Times New Roman"/>
                <w:b w:val="false"/>
                <w:i w:val="false"/>
                <w:color w:val="000000"/>
                <w:sz w:val="20"/>
              </w:rPr>
              <w:t>взаимосвязанности</w:t>
            </w:r>
            <w:r>
              <w:br/>
            </w:r>
            <w:r>
              <w:rPr>
                <w:rFonts w:ascii="Times New Roman"/>
                <w:b w:val="false"/>
                <w:i w:val="false"/>
                <w:color w:val="000000"/>
                <w:sz w:val="20"/>
              </w:rPr>
              <w:t>
</w:t>
            </w:r>
            <w:r>
              <w:rPr>
                <w:rFonts w:ascii="Times New Roman"/>
                <w:b w:val="false"/>
                <w:i w:val="false"/>
                <w:color w:val="000000"/>
                <w:sz w:val="20"/>
              </w:rPr>
              <w:t>сторон</w:t>
            </w:r>
            <w:r>
              <w:br/>
            </w:r>
            <w:r>
              <w:rPr>
                <w:rFonts w:ascii="Times New Roman"/>
                <w:b w:val="false"/>
                <w:i w:val="false"/>
                <w:color w:val="000000"/>
                <w:sz w:val="20"/>
              </w:rPr>
              <w:t>
</w:t>
            </w:r>
            <w:r>
              <w:rPr>
                <w:rFonts w:ascii="Times New Roman"/>
                <w:b w:val="false"/>
                <w:i w:val="false"/>
                <w:color w:val="000000"/>
                <w:sz w:val="20"/>
              </w:rPr>
              <w:t>(отправителя и</w:t>
            </w:r>
            <w:r>
              <w:br/>
            </w:r>
            <w:r>
              <w:rPr>
                <w:rFonts w:ascii="Times New Roman"/>
                <w:b w:val="false"/>
                <w:i w:val="false"/>
                <w:color w:val="000000"/>
                <w:sz w:val="20"/>
              </w:rPr>
              <w:t>
</w:t>
            </w:r>
            <w:r>
              <w:rPr>
                <w:rFonts w:ascii="Times New Roman"/>
                <w:b w:val="false"/>
                <w:i w:val="false"/>
                <w:color w:val="000000"/>
                <w:sz w:val="20"/>
              </w:rPr>
              <w:t>покупателя)</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r>
      <w:tr>
        <w:trPr>
          <w:trHeight w:val="27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5"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895"/>
        <w:gridCol w:w="2025"/>
        <w:gridCol w:w="2565"/>
        <w:gridCol w:w="1766"/>
        <w:gridCol w:w="922"/>
        <w:gridCol w:w="2805"/>
      </w:tblGrid>
      <w:tr>
        <w:trPr>
          <w:trHeight w:val="1215"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r>
              <w:br/>
            </w:r>
            <w:r>
              <w:rPr>
                <w:rFonts w:ascii="Times New Roman"/>
                <w:b w:val="false"/>
                <w:i w:val="false"/>
                <w:color w:val="000000"/>
                <w:sz w:val="20"/>
              </w:rPr>
              <w:t>
</w:t>
            </w:r>
            <w:r>
              <w:rPr>
                <w:rFonts w:ascii="Times New Roman"/>
                <w:b w:val="false"/>
                <w:i w:val="false"/>
                <w:color w:val="000000"/>
                <w:sz w:val="20"/>
              </w:rPr>
              <w:t>товара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товара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сделки</w:t>
            </w:r>
            <w:r>
              <w:br/>
            </w:r>
            <w:r>
              <w:rPr>
                <w:rFonts w:ascii="Times New Roman"/>
                <w:b w:val="false"/>
                <w:i w:val="false"/>
                <w:color w:val="000000"/>
                <w:sz w:val="20"/>
              </w:rPr>
              <w:t>
</w:t>
            </w: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w:t>
            </w:r>
            <w:r>
              <w:rPr>
                <w:rFonts w:ascii="Times New Roman"/>
                <w:b w:val="false"/>
                <w:i w:val="false"/>
                <w:color w:val="000000"/>
                <w:sz w:val="20"/>
              </w:rPr>
              <w:t>тенге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Методология</w:t>
            </w:r>
            <w:r>
              <w:br/>
            </w:r>
            <w:r>
              <w:rPr>
                <w:rFonts w:ascii="Times New Roman"/>
                <w:b w:val="false"/>
                <w:i w:val="false"/>
                <w:color w:val="000000"/>
                <w:sz w:val="20"/>
              </w:rPr>
              <w:t>
</w:t>
            </w:r>
            <w:r>
              <w:rPr>
                <w:rFonts w:ascii="Times New Roman"/>
                <w:b w:val="false"/>
                <w:i w:val="false"/>
                <w:color w:val="000000"/>
                <w:sz w:val="20"/>
              </w:rPr>
              <w:t>трансфертного</w:t>
            </w:r>
            <w:r>
              <w:br/>
            </w:r>
            <w:r>
              <w:rPr>
                <w:rFonts w:ascii="Times New Roman"/>
                <w:b w:val="false"/>
                <w:i w:val="false"/>
                <w:color w:val="000000"/>
                <w:sz w:val="20"/>
              </w:rPr>
              <w:t>
</w:t>
            </w:r>
            <w:r>
              <w:rPr>
                <w:rFonts w:ascii="Times New Roman"/>
                <w:b w:val="false"/>
                <w:i w:val="false"/>
                <w:color w:val="000000"/>
                <w:sz w:val="20"/>
              </w:rPr>
              <w:t>ценообразования</w:t>
            </w:r>
          </w:p>
        </w:tc>
      </w:tr>
      <w:tr>
        <w:trPr>
          <w:trHeight w:val="27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553"/>
        <w:gridCol w:w="1913"/>
        <w:gridCol w:w="2193"/>
        <w:gridCol w:w="263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w:t>
            </w:r>
            <w:r>
              <w:br/>
            </w:r>
            <w:r>
              <w:rPr>
                <w:rFonts w:ascii="Times New Roman"/>
                <w:b w:val="false"/>
                <w:i w:val="false"/>
                <w:color w:val="000000"/>
                <w:sz w:val="20"/>
              </w:rPr>
              <w:t>
</w:t>
            </w:r>
            <w:r>
              <w:rPr>
                <w:rFonts w:ascii="Times New Roman"/>
                <w:b w:val="false"/>
                <w:i w:val="false"/>
                <w:color w:val="000000"/>
                <w:sz w:val="20"/>
              </w:rPr>
              <w:t>влияющие на</w:t>
            </w:r>
            <w:r>
              <w:br/>
            </w:r>
            <w:r>
              <w:rPr>
                <w:rFonts w:ascii="Times New Roman"/>
                <w:b w:val="false"/>
                <w:i w:val="false"/>
                <w:color w:val="000000"/>
                <w:sz w:val="20"/>
              </w:rPr>
              <w:t>
</w:t>
            </w:r>
            <w:r>
              <w:rPr>
                <w:rFonts w:ascii="Times New Roman"/>
                <w:b w:val="false"/>
                <w:i w:val="false"/>
                <w:color w:val="000000"/>
                <w:sz w:val="20"/>
              </w:rPr>
              <w:t>установление</w:t>
            </w:r>
            <w:r>
              <w:br/>
            </w:r>
            <w:r>
              <w:rPr>
                <w:rFonts w:ascii="Times New Roman"/>
                <w:b w:val="false"/>
                <w:i w:val="false"/>
                <w:color w:val="000000"/>
                <w:sz w:val="20"/>
              </w:rPr>
              <w:t>
</w:t>
            </w:r>
            <w:r>
              <w:rPr>
                <w:rFonts w:ascii="Times New Roman"/>
                <w:b w:val="false"/>
                <w:i w:val="false"/>
                <w:color w:val="000000"/>
                <w:sz w:val="20"/>
              </w:rPr>
              <w:t>цены сделки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применяемый для</w:t>
            </w:r>
            <w:r>
              <w:br/>
            </w:r>
            <w:r>
              <w:rPr>
                <w:rFonts w:ascii="Times New Roman"/>
                <w:b w:val="false"/>
                <w:i w:val="false"/>
                <w:color w:val="000000"/>
                <w:sz w:val="20"/>
              </w:rPr>
              <w:t>
</w:t>
            </w:r>
            <w:r>
              <w:rPr>
                <w:rFonts w:ascii="Times New Roman"/>
                <w:b w:val="false"/>
                <w:i w:val="false"/>
                <w:color w:val="000000"/>
                <w:sz w:val="20"/>
              </w:rPr>
              <w:t>определения</w:t>
            </w:r>
            <w:r>
              <w:br/>
            </w:r>
            <w:r>
              <w:rPr>
                <w:rFonts w:ascii="Times New Roman"/>
                <w:b w:val="false"/>
                <w:i w:val="false"/>
                <w:color w:val="000000"/>
                <w:sz w:val="20"/>
              </w:rPr>
              <w:t>
</w:t>
            </w:r>
            <w:r>
              <w:rPr>
                <w:rFonts w:ascii="Times New Roman"/>
                <w:b w:val="false"/>
                <w:i w:val="false"/>
                <w:color w:val="000000"/>
                <w:sz w:val="20"/>
              </w:rPr>
              <w:t>рыночной цены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Дифференциал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цена</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 услуги)</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0"/>
        <w:gridCol w:w="1673"/>
        <w:gridCol w:w="2758"/>
        <w:gridCol w:w="2993"/>
        <w:gridCol w:w="1696"/>
      </w:tblGrid>
      <w:tr>
        <w:trPr>
          <w:trHeight w:val="975"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участника сделки</w:t>
            </w:r>
            <w:r>
              <w:br/>
            </w:r>
            <w:r>
              <w:rPr>
                <w:rFonts w:ascii="Times New Roman"/>
                <w:b w:val="false"/>
                <w:i w:val="false"/>
                <w:color w:val="000000"/>
                <w:sz w:val="20"/>
              </w:rPr>
              <w:t>
</w:t>
            </w:r>
            <w:r>
              <w:rPr>
                <w:rFonts w:ascii="Times New Roman"/>
                <w:b w:val="false"/>
                <w:i w:val="false"/>
                <w:color w:val="000000"/>
                <w:sz w:val="20"/>
              </w:rPr>
              <w:t>(импортера), отрасли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условий рынка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r>
              <w:br/>
            </w:r>
            <w:r>
              <w:rPr>
                <w:rFonts w:ascii="Times New Roman"/>
                <w:b w:val="false"/>
                <w:i w:val="false"/>
                <w:color w:val="000000"/>
                <w:sz w:val="20"/>
              </w:rPr>
              <w:t>
</w:t>
            </w:r>
            <w:r>
              <w:rPr>
                <w:rFonts w:ascii="Times New Roman"/>
                <w:b w:val="false"/>
                <w:i w:val="false"/>
                <w:color w:val="000000"/>
                <w:sz w:val="20"/>
              </w:rPr>
              <w:t>бизнеса</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Другая информация,</w:t>
            </w:r>
            <w:r>
              <w:br/>
            </w:r>
            <w:r>
              <w:rPr>
                <w:rFonts w:ascii="Times New Roman"/>
                <w:b w:val="false"/>
                <w:i w:val="false"/>
                <w:color w:val="000000"/>
                <w:sz w:val="20"/>
              </w:rPr>
              <w:t>
</w:t>
            </w:r>
            <w:r>
              <w:rPr>
                <w:rFonts w:ascii="Times New Roman"/>
                <w:b w:val="false"/>
                <w:i w:val="false"/>
                <w:color w:val="000000"/>
                <w:sz w:val="20"/>
              </w:rPr>
              <w:t>обосновывающая</w:t>
            </w:r>
            <w:r>
              <w:br/>
            </w:r>
            <w:r>
              <w:rPr>
                <w:rFonts w:ascii="Times New Roman"/>
                <w:b w:val="false"/>
                <w:i w:val="false"/>
                <w:color w:val="000000"/>
                <w:sz w:val="20"/>
              </w:rPr>
              <w:t>
</w:t>
            </w:r>
            <w:r>
              <w:rPr>
                <w:rFonts w:ascii="Times New Roman"/>
                <w:b w:val="false"/>
                <w:i w:val="false"/>
                <w:color w:val="000000"/>
                <w:sz w:val="20"/>
              </w:rPr>
              <w:t>правильность</w:t>
            </w:r>
            <w:r>
              <w:br/>
            </w:r>
            <w:r>
              <w:rPr>
                <w:rFonts w:ascii="Times New Roman"/>
                <w:b w:val="false"/>
                <w:i w:val="false"/>
                <w:color w:val="000000"/>
                <w:sz w:val="20"/>
              </w:rPr>
              <w:t>
</w:t>
            </w:r>
            <w:r>
              <w:rPr>
                <w:rFonts w:ascii="Times New Roman"/>
                <w:b w:val="false"/>
                <w:i w:val="false"/>
                <w:color w:val="000000"/>
                <w:sz w:val="20"/>
              </w:rPr>
              <w:t>применения цены</w:t>
            </w:r>
            <w:r>
              <w:br/>
            </w:r>
            <w:r>
              <w:rPr>
                <w:rFonts w:ascii="Times New Roman"/>
                <w:b w:val="false"/>
                <w:i w:val="false"/>
                <w:color w:val="000000"/>
                <w:sz w:val="20"/>
              </w:rPr>
              <w:t>
</w:t>
            </w:r>
            <w:r>
              <w:rPr>
                <w:rFonts w:ascii="Times New Roman"/>
                <w:b w:val="false"/>
                <w:i w:val="false"/>
                <w:color w:val="000000"/>
                <w:sz w:val="20"/>
              </w:rPr>
              <w:t>сделки товара</w:t>
            </w:r>
            <w:r>
              <w:br/>
            </w:r>
            <w:r>
              <w:rPr>
                <w:rFonts w:ascii="Times New Roman"/>
                <w:b w:val="false"/>
                <w:i w:val="false"/>
                <w:color w:val="000000"/>
                <w:sz w:val="20"/>
              </w:rPr>
              <w:t>
</w:t>
            </w:r>
            <w:r>
              <w:rPr>
                <w:rFonts w:ascii="Times New Roman"/>
                <w:b w:val="false"/>
                <w:i w:val="false"/>
                <w:color w:val="000000"/>
                <w:sz w:val="20"/>
              </w:rPr>
              <w:t>(работы, услуги)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Другая информация,</w:t>
            </w:r>
            <w:r>
              <w:br/>
            </w:r>
            <w:r>
              <w:rPr>
                <w:rFonts w:ascii="Times New Roman"/>
                <w:b w:val="false"/>
                <w:i w:val="false"/>
                <w:color w:val="000000"/>
                <w:sz w:val="20"/>
              </w:rPr>
              <w:t>
</w:t>
            </w:r>
            <w:r>
              <w:rPr>
                <w:rFonts w:ascii="Times New Roman"/>
                <w:b w:val="false"/>
                <w:i w:val="false"/>
                <w:color w:val="000000"/>
                <w:sz w:val="20"/>
              </w:rPr>
              <w:t>влияющая на</w:t>
            </w:r>
            <w:r>
              <w:br/>
            </w:r>
            <w:r>
              <w:rPr>
                <w:rFonts w:ascii="Times New Roman"/>
                <w:b w:val="false"/>
                <w:i w:val="false"/>
                <w:color w:val="000000"/>
                <w:sz w:val="20"/>
              </w:rPr>
              <w:t>
</w:t>
            </w:r>
            <w:r>
              <w:rPr>
                <w:rFonts w:ascii="Times New Roman"/>
                <w:b w:val="false"/>
                <w:i w:val="false"/>
                <w:color w:val="000000"/>
                <w:sz w:val="20"/>
              </w:rPr>
              <w:t>величину</w:t>
            </w:r>
            <w:r>
              <w:br/>
            </w:r>
            <w:r>
              <w:rPr>
                <w:rFonts w:ascii="Times New Roman"/>
                <w:b w:val="false"/>
                <w:i w:val="false"/>
                <w:color w:val="000000"/>
                <w:sz w:val="20"/>
              </w:rPr>
              <w:t>
</w:t>
            </w:r>
            <w:r>
              <w:rPr>
                <w:rFonts w:ascii="Times New Roman"/>
                <w:b w:val="false"/>
                <w:i w:val="false"/>
                <w:color w:val="000000"/>
                <w:sz w:val="20"/>
              </w:rPr>
              <w:t>отклонения цены</w:t>
            </w:r>
            <w:r>
              <w:br/>
            </w:r>
            <w:r>
              <w:rPr>
                <w:rFonts w:ascii="Times New Roman"/>
                <w:b w:val="false"/>
                <w:i w:val="false"/>
                <w:color w:val="000000"/>
                <w:sz w:val="20"/>
              </w:rPr>
              <w:t>
</w:t>
            </w:r>
            <w:r>
              <w:rPr>
                <w:rFonts w:ascii="Times New Roman"/>
                <w:b w:val="false"/>
                <w:i w:val="false"/>
                <w:color w:val="000000"/>
                <w:sz w:val="20"/>
              </w:rPr>
              <w:t>сделки товара</w:t>
            </w:r>
            <w:r>
              <w:br/>
            </w:r>
            <w:r>
              <w:rPr>
                <w:rFonts w:ascii="Times New Roman"/>
                <w:b w:val="false"/>
                <w:i w:val="false"/>
                <w:color w:val="000000"/>
                <w:sz w:val="20"/>
              </w:rPr>
              <w:t>
</w:t>
            </w:r>
            <w:r>
              <w:rPr>
                <w:rFonts w:ascii="Times New Roman"/>
                <w:b w:val="false"/>
                <w:i w:val="false"/>
                <w:color w:val="000000"/>
                <w:sz w:val="20"/>
              </w:rPr>
              <w:t>(работы, услуги)</w:t>
            </w:r>
            <w:r>
              <w:br/>
            </w:r>
            <w:r>
              <w:rPr>
                <w:rFonts w:ascii="Times New Roman"/>
                <w:b w:val="false"/>
                <w:i w:val="false"/>
                <w:color w:val="000000"/>
                <w:sz w:val="20"/>
              </w:rPr>
              <w:t>
</w:t>
            </w:r>
            <w:r>
              <w:rPr>
                <w:rFonts w:ascii="Times New Roman"/>
                <w:b w:val="false"/>
                <w:i w:val="false"/>
                <w:color w:val="000000"/>
                <w:sz w:val="20"/>
              </w:rPr>
              <w:t>от рыночной цены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 цен</w:t>
            </w:r>
            <w:r>
              <w:br/>
            </w:r>
            <w:r>
              <w:rPr>
                <w:rFonts w:ascii="Times New Roman"/>
                <w:b w:val="false"/>
                <w:i w:val="false"/>
                <w:color w:val="000000"/>
                <w:sz w:val="20"/>
              </w:rPr>
              <w:t>
</w:t>
            </w: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27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3473"/>
        <w:gridCol w:w="2653"/>
        <w:gridCol w:w="5153"/>
      </w:tblGrid>
      <w:tr>
        <w:trPr>
          <w:trHeight w:val="13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r>
              <w:br/>
            </w:r>
            <w:r>
              <w:rPr>
                <w:rFonts w:ascii="Times New Roman"/>
                <w:b w:val="false"/>
                <w:i w:val="false"/>
                <w:color w:val="000000"/>
                <w:sz w:val="20"/>
              </w:rPr>
              <w:t>
</w:t>
            </w:r>
            <w:r>
              <w:rPr>
                <w:rFonts w:ascii="Times New Roman"/>
                <w:b w:val="false"/>
                <w:i w:val="false"/>
                <w:color w:val="000000"/>
                <w:sz w:val="20"/>
              </w:rPr>
              <w:t>ведения</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операций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стандартам</w:t>
            </w:r>
            <w:r>
              <w:br/>
            </w:r>
            <w:r>
              <w:rPr>
                <w:rFonts w:ascii="Times New Roman"/>
                <w:b w:val="false"/>
                <w:i w:val="false"/>
                <w:color w:val="000000"/>
                <w:sz w:val="20"/>
              </w:rPr>
              <w:t>
</w:t>
            </w:r>
            <w:r>
              <w:rPr>
                <w:rFonts w:ascii="Times New Roman"/>
                <w:b w:val="false"/>
                <w:i w:val="false"/>
                <w:color w:val="000000"/>
                <w:sz w:val="20"/>
              </w:rPr>
              <w:t>бухгалтерского учета,</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финансовая отчетность</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Функциональный</w:t>
            </w:r>
            <w:r>
              <w:br/>
            </w:r>
            <w:r>
              <w:rPr>
                <w:rFonts w:ascii="Times New Roman"/>
                <w:b w:val="false"/>
                <w:i w:val="false"/>
                <w:color w:val="000000"/>
                <w:sz w:val="20"/>
              </w:rPr>
              <w:t>
</w:t>
            </w:r>
            <w:r>
              <w:rPr>
                <w:rFonts w:ascii="Times New Roman"/>
                <w:b w:val="false"/>
                <w:i w:val="false"/>
                <w:color w:val="000000"/>
                <w:sz w:val="20"/>
              </w:rPr>
              <w:t>анализ, анализ</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материальных и</w:t>
            </w:r>
            <w:r>
              <w:br/>
            </w:r>
            <w:r>
              <w:rPr>
                <w:rFonts w:ascii="Times New Roman"/>
                <w:b w:val="false"/>
                <w:i w:val="false"/>
                <w:color w:val="000000"/>
                <w:sz w:val="20"/>
              </w:rPr>
              <w:t>
</w:t>
            </w:r>
            <w:r>
              <w:rPr>
                <w:rFonts w:ascii="Times New Roman"/>
                <w:b w:val="false"/>
                <w:i w:val="false"/>
                <w:color w:val="000000"/>
                <w:sz w:val="20"/>
              </w:rPr>
              <w:t>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 комиссионное (агентское)</w:t>
            </w:r>
            <w:r>
              <w:br/>
            </w:r>
            <w:r>
              <w:rPr>
                <w:rFonts w:ascii="Times New Roman"/>
                <w:b w:val="false"/>
                <w:i w:val="false"/>
                <w:color w:val="000000"/>
                <w:sz w:val="20"/>
              </w:rPr>
              <w:t>
</w:t>
            </w:r>
            <w:r>
              <w:rPr>
                <w:rFonts w:ascii="Times New Roman"/>
                <w:b w:val="false"/>
                <w:i w:val="false"/>
                <w:color w:val="000000"/>
                <w:sz w:val="20"/>
              </w:rPr>
              <w:t>вознаграждение торгового</w:t>
            </w:r>
            <w:r>
              <w:br/>
            </w:r>
            <w:r>
              <w:rPr>
                <w:rFonts w:ascii="Times New Roman"/>
                <w:b w:val="false"/>
                <w:i w:val="false"/>
                <w:color w:val="000000"/>
                <w:sz w:val="20"/>
              </w:rPr>
              <w:t>
</w:t>
            </w:r>
            <w:r>
              <w:rPr>
                <w:rFonts w:ascii="Times New Roman"/>
                <w:b w:val="false"/>
                <w:i w:val="false"/>
                <w:color w:val="000000"/>
                <w:sz w:val="20"/>
              </w:rPr>
              <w:t>брокера, трейдера или агента</w:t>
            </w:r>
            <w:r>
              <w:br/>
            </w:r>
            <w:r>
              <w:rPr>
                <w:rFonts w:ascii="Times New Roman"/>
                <w:b w:val="false"/>
                <w:i w:val="false"/>
                <w:color w:val="000000"/>
                <w:sz w:val="20"/>
              </w:rPr>
              <w:t>
</w:t>
            </w:r>
            <w:r>
              <w:rPr>
                <w:rFonts w:ascii="Times New Roman"/>
                <w:b w:val="false"/>
                <w:i w:val="false"/>
                <w:color w:val="000000"/>
                <w:sz w:val="20"/>
              </w:rPr>
              <w:t>либо компенсации за выполнение</w:t>
            </w:r>
            <w:r>
              <w:br/>
            </w:r>
            <w:r>
              <w:rPr>
                <w:rFonts w:ascii="Times New Roman"/>
                <w:b w:val="false"/>
                <w:i w:val="false"/>
                <w:color w:val="000000"/>
                <w:sz w:val="20"/>
              </w:rPr>
              <w:t>
</w:t>
            </w:r>
            <w:r>
              <w:rPr>
                <w:rFonts w:ascii="Times New Roman"/>
                <w:b w:val="false"/>
                <w:i w:val="false"/>
                <w:color w:val="000000"/>
                <w:sz w:val="20"/>
              </w:rPr>
              <w:t>ими торгово-посреднических</w:t>
            </w:r>
            <w:r>
              <w:br/>
            </w:r>
            <w:r>
              <w:rPr>
                <w:rFonts w:ascii="Times New Roman"/>
                <w:b w:val="false"/>
                <w:i w:val="false"/>
                <w:color w:val="000000"/>
                <w:sz w:val="20"/>
              </w:rPr>
              <w:t>
</w:t>
            </w:r>
            <w:r>
              <w:rPr>
                <w:rFonts w:ascii="Times New Roman"/>
                <w:b w:val="false"/>
                <w:i w:val="false"/>
                <w:color w:val="000000"/>
                <w:sz w:val="20"/>
              </w:rPr>
              <w:t>функций</w:t>
            </w:r>
          </w:p>
        </w:tc>
      </w:tr>
      <w:tr>
        <w:trPr>
          <w:trHeight w:val="2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