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fb71" w14:textId="3f7f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платы за эмиссии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8 апреля 2009 года № 68-п. Зарегистрирован в Министерстве юстиции Республики Казахстан 8 мая 2009 года № 5672.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29)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№ 212-III, а также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Закона Республики Казахстан от 10 декабря 2008 года № 101-IV "О внесении изменений и дополнений в некоторые законодательные акты Республики Казахстан по вопросам налогообложения",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расчета платы за эмиссии в окружающую среду.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охраны окружающей среды Республики Казахстан от 27 апреля 2007 года № 124-П "Об утверждении Методики расчета платы за эмиссии в окружающую среду" (зарегистрированный в Реестре государственной регистрации нормативно-правовых актов Республики Казахстан за № 4694, опубликованный в Юридической газете от 6 июля 2007 года за № 102(1305), Собрании актов центральных исполнительных и иных государственных органов Республики Казахстан 2007 год, май-июнь).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Ашимов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2009 года № 68-п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расчета платы за эмиссии в окружающую среду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платы за эмиссии в окружающую среду (далее - Методика) предназначена для определения платы за эмиссии в окружающую среду.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Плата взимается за фактический объем эмиссий в окружающую среду в пределах и (или) сверх установленных нормативов эмиссий в окружающую среду: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выбросов загрязняющих веществ;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сбросов загрязняющих веществ;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размещенных отходов производства и потребления.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 платы за выбросы i-го загрязняющего вещества от стационарных источников в пределах нормативов эмиссий осуществляется по следующей формуле: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выб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H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выб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х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M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выб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>выб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плата за выбросы i-го загрязняющего вещества от стационарных источников (МРП);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>выб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ставка платы за выбросы i-го загрязняющего вещества, установленная в соответствии с налоговым законодательством Республики Казахстан (МРП/тонн);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M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>выб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суммарная масса всех разновидностей i-ого загрязняющего вещества, выброшенного в окружающую среду за отчетный период (тонн).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Расчет платы за выбросы загрязняющих веществ от передвижных источников осуществляется по следующей формуле: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bscript"/>
        </w:rPr>
        <w:t>передв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ист. </w:t>
      </w:r>
      <w:r>
        <w:rPr>
          <w:rFonts w:ascii="Times New Roman"/>
          <w:b w:val="false"/>
          <w:i w:val="false"/>
          <w:color w:val="000000"/>
          <w:sz w:val="28"/>
        </w:rPr>
        <w:t xml:space="preserve">= H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>передв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ист. </w:t>
      </w:r>
      <w:r>
        <w:rPr>
          <w:rFonts w:ascii="Times New Roman"/>
          <w:b w:val="false"/>
          <w:i w:val="false"/>
          <w:color w:val="000000"/>
          <w:sz w:val="28"/>
        </w:rPr>
        <w:t xml:space="preserve">х M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>передв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ист.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bscript"/>
        </w:rPr>
        <w:t>передв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ист.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плата за выбросы загрязняющих веществ от передвижных источников (МРП);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>передв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ист.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ставка платы за выбросы загрязняющих веществ в атмосферный воздух от i-ого вида топлива, установленная в соответствии с налоговым законодательством Республики Казахстан (МРП/тонн);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>передв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ист.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масса i-ого вида топлива, израсходованного за отчетный период (тонн).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Расчет платы за сбросы i-го загрязняющего вещества в пределах нормативов эмиссий осуществляется по следующей формуле: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сбр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= H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сбр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х M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сбр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>сбр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плата за сбросы i-го загрязняющего вещества (МРП);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>сбр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ставка платы за сбросы i-го загрязняющего вещества, установленная в соответствии с налоговым законодательством Республики Казахстан (МРП/тонн);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>сбр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масса i-ого загрязняющего вещества, сброшенного в окружающую среду за отчетный период (тонн).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 платы за размещенный объем i-го вида отходов производства и потребления в пределах нормативов эмиссий осуществляется по следующей формуле: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= H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х М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плата за размещение i-го вида отходов производства и потребления (МРП);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ставка платы за размещение одной тонны i-го вида отходов производства и потребления, установленная в соответствии с налоговым законодательством Республики Казахстан (МРП/тонн);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масса i-ого вида отходов, размещенного природопользователем в процессе производственной деятельности за отчетный период (тонн, Гбк - для радиоактивных отходов).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Масса загрязняющих веществ, выброшенных (сброшенных) в окружающую среду, использованного топлива и отходов, размещенных в окружающей среде, рассчитывается природопользователями самостоятельно по результатам производственного экологического контроля, и подлежит проверке в процессе осуществления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контроля.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 загрязнение окружающей среды сверхустановленных нормативов плата за эмиссии в окружающую среду рассчитывается в соответствии с Кодексом Республики Казахстан "О налогах и других обязательных платежах в бюджет".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