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3f5e" w14:textId="4863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ноября 2009 года № 242. Зарегистрировано в Министерстве юстиции Республики Казахстан 5 января 2010 года № 5985. Утратило силу постановлением Правления Национального Банка Республики Казахстан от 22 октября 2014 года № 210</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профессиональных участников рынка ценных бумаг, оказывающих услуги номинального держания,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4138)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w:t>
      </w:r>
      <w:r>
        <w:rPr>
          <w:rFonts w:ascii="Times New Roman"/>
          <w:b w:val="false"/>
          <w:i w:val="false"/>
          <w:color w:val="000000"/>
          <w:sz w:val="28"/>
        </w:rPr>
        <w:t>подпунктом 3-1)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"3-1) лицах, в пользу которых осуществлено обременение ценных бумаг;";</w:t>
      </w:r>
      <w:r>
        <w:br/>
      </w:r>
      <w:r>
        <w:rPr>
          <w:rFonts w:ascii="Times New Roman"/>
          <w:b w:val="false"/>
          <w:i w:val="false"/>
          <w:color w:val="000000"/>
          <w:sz w:val="28"/>
        </w:rPr>
        <w:t>
</w:t>
      </w:r>
      <w:r>
        <w:rPr>
          <w:rFonts w:ascii="Times New Roman"/>
          <w:b w:val="false"/>
          <w:i w:val="false"/>
          <w:color w:val="000000"/>
          <w:sz w:val="28"/>
        </w:rPr>
        <w:t>
      дополнить пунктами </w:t>
      </w:r>
      <w:r>
        <w:rPr>
          <w:rFonts w:ascii="Times New Roman"/>
          <w:b w:val="false"/>
          <w:i w:val="false"/>
          <w:color w:val="000000"/>
          <w:sz w:val="28"/>
        </w:rPr>
        <w:t>23-2</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"23-2.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номинальный держатель в целях обеспечения возврата активов клиентов, переданных в номинальное держание, уведомляет их о необходимости предоставления номинальному держателю приказов на списание активов, находящихся на счетах клиентов в системе учета номинального держателя, открытых в рамках заключенного с клиентом договора о номинальном держании.</w:t>
      </w:r>
      <w:r>
        <w:br/>
      </w:r>
      <w:r>
        <w:rPr>
          <w:rFonts w:ascii="Times New Roman"/>
          <w:b w:val="false"/>
          <w:i w:val="false"/>
          <w:color w:val="000000"/>
          <w:sz w:val="28"/>
        </w:rPr>
        <w:t>
      В случае получения от клиента приказов на списание активов номинальный держатель исполняет действия, предусмотренные в части первой пункта 23-1 настоящих Правил.</w:t>
      </w:r>
      <w:r>
        <w:br/>
      </w:r>
      <w:r>
        <w:rPr>
          <w:rFonts w:ascii="Times New Roman"/>
          <w:b w:val="false"/>
          <w:i w:val="false"/>
          <w:color w:val="000000"/>
          <w:sz w:val="28"/>
        </w:rPr>
        <w:t>
      В случае неполучения от клиента в течение девяноста календарных дней с даты направления ему уведомления, указанного в части первой настоящего пункта, приказа на списание активов от клиента либо получения уведомления о том, что клиент отсутствует по месту нахождения (месту жительства), номинальный держатель:</w:t>
      </w:r>
      <w:r>
        <w:br/>
      </w:r>
      <w:r>
        <w:rPr>
          <w:rFonts w:ascii="Times New Roman"/>
          <w:b w:val="false"/>
          <w:i w:val="false"/>
          <w:color w:val="000000"/>
          <w:sz w:val="28"/>
        </w:rPr>
        <w:t>
      1) направляет центральному депозитарию приказ на списание ценных бумаг со счета номинального держателя, открытого в системе учета центрального депозитария, в целях их последующего зачисления на лицевой счет, открытый клиенту номинального держателя в системе реестров держателей ценных бумаг регистратором, осуществляющим ведение системы реестра держателей ценных бумаг эмитента;</w:t>
      </w:r>
      <w:r>
        <w:br/>
      </w:r>
      <w:r>
        <w:rPr>
          <w:rFonts w:ascii="Times New Roman"/>
          <w:b w:val="false"/>
          <w:i w:val="false"/>
          <w:color w:val="000000"/>
          <w:sz w:val="28"/>
        </w:rPr>
        <w:t>
      2) передает деньги клиента в депозит нотариусу для их последующей передачи данному клиенту номинального держателя;</w:t>
      </w:r>
      <w:r>
        <w:br/>
      </w:r>
      <w:r>
        <w:rPr>
          <w:rFonts w:ascii="Times New Roman"/>
          <w:b w:val="false"/>
          <w:i w:val="false"/>
          <w:color w:val="000000"/>
          <w:sz w:val="28"/>
        </w:rPr>
        <w:t>
      3) уведомляет клиента о совершении действий, указанных в подпунктах 1) и 2) части третьей настоящего пункта.</w:t>
      </w:r>
      <w:r>
        <w:br/>
      </w:r>
      <w:r>
        <w:rPr>
          <w:rFonts w:ascii="Times New Roman"/>
          <w:b w:val="false"/>
          <w:i w:val="false"/>
          <w:color w:val="000000"/>
          <w:sz w:val="28"/>
        </w:rPr>
        <w:t>
      Центральный депозитарий осуществляет списание активов клиентов со счетов номинального держателя на основании приказов номинального держателя.</w:t>
      </w:r>
      <w:r>
        <w:br/>
      </w:r>
      <w:r>
        <w:rPr>
          <w:rFonts w:ascii="Times New Roman"/>
          <w:b w:val="false"/>
          <w:i w:val="false"/>
          <w:color w:val="000000"/>
          <w:sz w:val="28"/>
        </w:rPr>
        <w:t>
      23-3. Центральный депозитарий в течение трех календарных дней с даты получения приказа номинального держателя на списание ценных бумаг со счета номинального держателя направляет регистратору, осуществляющему ведение системы реестров держателей ценных бумаг эмитента, документы, предоставленные номинальному держателю его клиентом для открытия лицевого счета в системе учета номинального держания, и приказы на:</w:t>
      </w:r>
      <w:r>
        <w:br/>
      </w:r>
      <w:r>
        <w:rPr>
          <w:rFonts w:ascii="Times New Roman"/>
          <w:b w:val="false"/>
          <w:i w:val="false"/>
          <w:color w:val="000000"/>
          <w:sz w:val="28"/>
        </w:rPr>
        <w:t>
      1) открытие в системе реестров держателей ценных бумаг лицевого счета собственнику ценных бумаг, являвшемуся клиентом номинального держателя;</w:t>
      </w:r>
      <w:r>
        <w:br/>
      </w:r>
      <w:r>
        <w:rPr>
          <w:rFonts w:ascii="Times New Roman"/>
          <w:b w:val="false"/>
          <w:i w:val="false"/>
          <w:color w:val="000000"/>
          <w:sz w:val="28"/>
        </w:rPr>
        <w:t>
      2) зачисление на лицевой счет, открытый в системе реестров держателей ценных бумаг собственнику ценных бумаг, являвшемуся клиентом номинального держателя, принадлежащих ему ценных бумаг.</w:t>
      </w:r>
      <w:r>
        <w:br/>
      </w:r>
      <w:r>
        <w:rPr>
          <w:rFonts w:ascii="Times New Roman"/>
          <w:b w:val="false"/>
          <w:i w:val="false"/>
          <w:color w:val="000000"/>
          <w:sz w:val="28"/>
        </w:rPr>
        <w:t>
      В случае обращения в центральный депозитарий собственника ценных бумаг зачисленных на лицевой счет, открытый в системе реестров держателей ценных бумаг, центральный депозитарий предоставляет данному собственнику ценных бумаг реквизиты его лицевого счета и сведения о регистраторе его открывшем.";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Операция по закрытию лицевого счета держателя ценных бумаг проводится номинальным держателем:</w:t>
      </w:r>
      <w:r>
        <w:br/>
      </w:r>
      <w:r>
        <w:rPr>
          <w:rFonts w:ascii="Times New Roman"/>
          <w:b w:val="false"/>
          <w:i w:val="false"/>
          <w:color w:val="000000"/>
          <w:sz w:val="28"/>
        </w:rPr>
        <w:t>
      1) на основании приказа клиента на закрытие лицевого счета;</w:t>
      </w:r>
      <w:r>
        <w:br/>
      </w:r>
      <w:r>
        <w:rPr>
          <w:rFonts w:ascii="Times New Roman"/>
          <w:b w:val="false"/>
          <w:i w:val="false"/>
          <w:color w:val="000000"/>
          <w:sz w:val="28"/>
        </w:rPr>
        <w:t>
      2) при отсутствии на данном лицевом счете ценных бумаг в течение последних двенадцати месяцев, если иной срок не установлен договором о номинальном держании с данным клиентом;</w:t>
      </w:r>
      <w:r>
        <w:br/>
      </w:r>
      <w:r>
        <w:rPr>
          <w:rFonts w:ascii="Times New Roman"/>
          <w:b w:val="false"/>
          <w:i w:val="false"/>
          <w:color w:val="000000"/>
          <w:sz w:val="28"/>
        </w:rPr>
        <w:t>
      3) при возврате активов клиенту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w:t>
      </w:r>
      <w:r>
        <w:br/>
      </w:r>
      <w:r>
        <w:rPr>
          <w:rFonts w:ascii="Times New Roman"/>
          <w:b w:val="false"/>
          <w:i w:val="false"/>
          <w:color w:val="000000"/>
          <w:sz w:val="28"/>
        </w:rPr>
        <w:t>
      При закрытии лицевого счета держателя ценных бумаг клиенту направляется соответствующее уведомление по форме, установленной внутренним документом номинального держателя.";</w:t>
      </w:r>
      <w:r>
        <w:br/>
      </w:r>
      <w:r>
        <w:rPr>
          <w:rFonts w:ascii="Times New Roman"/>
          <w:b w:val="false"/>
          <w:i w:val="false"/>
          <w:color w:val="000000"/>
          <w:sz w:val="28"/>
        </w:rPr>
        <w:t>
</w:t>
      </w:r>
      <w:r>
        <w:rPr>
          <w:rFonts w:ascii="Times New Roman"/>
          <w:b w:val="false"/>
          <w:i w:val="false"/>
          <w:color w:val="000000"/>
          <w:sz w:val="28"/>
        </w:rPr>
        <w:t>
      столбец «обременение» таблицы второй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893"/>
        <w:gridCol w:w="473"/>
      </w:tblGrid>
      <w:tr>
        <w:trPr>
          <w:trHeight w:val="18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обременение</w:t>
            </w:r>
            <w:r>
              <w:br/>
            </w:r>
            <w:r>
              <w:rPr>
                <w:rFonts w:ascii="Times New Roman"/>
                <w:b w:val="false"/>
                <w:i w:val="false"/>
                <w:color w:val="000000"/>
                <w:sz w:val="20"/>
              </w:rPr>
              <w:t>
с указанием</w:t>
            </w:r>
            <w:r>
              <w:br/>
            </w:r>
            <w:r>
              <w:rPr>
                <w:rFonts w:ascii="Times New Roman"/>
                <w:b w:val="false"/>
                <w:i w:val="false"/>
                <w:color w:val="000000"/>
                <w:sz w:val="20"/>
              </w:rPr>
              <w:t>
лиц, в</w:t>
            </w:r>
            <w:r>
              <w:br/>
            </w:r>
            <w:r>
              <w:rPr>
                <w:rFonts w:ascii="Times New Roman"/>
                <w:b w:val="false"/>
                <w:i w:val="false"/>
                <w:color w:val="000000"/>
                <w:sz w:val="20"/>
              </w:rPr>
              <w:t>
пользу которых</w:t>
            </w:r>
            <w:r>
              <w:br/>
            </w:r>
            <w:r>
              <w:rPr>
                <w:rFonts w:ascii="Times New Roman"/>
                <w:b w:val="false"/>
                <w:i w:val="false"/>
                <w:color w:val="000000"/>
                <w:sz w:val="20"/>
              </w:rPr>
              <w:t>
осуществлено</w:t>
            </w:r>
            <w:r>
              <w:br/>
            </w:r>
            <w:r>
              <w:rPr>
                <w:rFonts w:ascii="Times New Roman"/>
                <w:b w:val="false"/>
                <w:i w:val="false"/>
                <w:color w:val="000000"/>
                <w:sz w:val="20"/>
              </w:rPr>
              <w:t>
обременение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bookmarkStart w:name="z8" w:id="1"/>
    <w:p>
      <w:pPr>
        <w:spacing w:after="0"/>
        <w:ind w:left="0"/>
        <w:jc w:val="both"/>
      </w:pPr>
      <w:r>
        <w:rPr>
          <w:rFonts w:ascii="Times New Roman"/>
          <w:b w:val="false"/>
          <w:i w:val="false"/>
          <w:color w:val="000000"/>
          <w:sz w:val="28"/>
        </w:rPr>
        <w:t>
      столбцы "обремененных и (или) блокированных" таблицы третьей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893"/>
        <w:gridCol w:w="613"/>
      </w:tblGrid>
      <w:tr>
        <w:trPr>
          <w:trHeight w:val="14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обремененных</w:t>
            </w:r>
            <w:r>
              <w:br/>
            </w:r>
            <w:r>
              <w:rPr>
                <w:rFonts w:ascii="Times New Roman"/>
                <w:b w:val="false"/>
                <w:i w:val="false"/>
                <w:color w:val="000000"/>
                <w:sz w:val="20"/>
              </w:rPr>
              <w:t>
и (или)</w:t>
            </w:r>
            <w:r>
              <w:br/>
            </w:r>
            <w:r>
              <w:rPr>
                <w:rFonts w:ascii="Times New Roman"/>
                <w:b w:val="false"/>
                <w:i w:val="false"/>
                <w:color w:val="000000"/>
                <w:sz w:val="20"/>
              </w:rPr>
              <w:t>
блокированных,</w:t>
            </w:r>
            <w:r>
              <w:br/>
            </w:r>
            <w:r>
              <w:rPr>
                <w:rFonts w:ascii="Times New Roman"/>
                <w:b w:val="false"/>
                <w:i w:val="false"/>
                <w:color w:val="000000"/>
                <w:sz w:val="20"/>
              </w:rPr>
              <w:t>
с указанием</w:t>
            </w:r>
            <w:r>
              <w:br/>
            </w:r>
            <w:r>
              <w:rPr>
                <w:rFonts w:ascii="Times New Roman"/>
                <w:b w:val="false"/>
                <w:i w:val="false"/>
                <w:color w:val="000000"/>
                <w:sz w:val="20"/>
              </w:rPr>
              <w:t>
лиц, в пользу</w:t>
            </w:r>
            <w:r>
              <w:br/>
            </w:r>
            <w:r>
              <w:rPr>
                <w:rFonts w:ascii="Times New Roman"/>
                <w:b w:val="false"/>
                <w:i w:val="false"/>
                <w:color w:val="000000"/>
                <w:sz w:val="20"/>
              </w:rPr>
              <w:t>
которых</w:t>
            </w:r>
            <w:r>
              <w:br/>
            </w:r>
            <w:r>
              <w:rPr>
                <w:rFonts w:ascii="Times New Roman"/>
                <w:b w:val="false"/>
                <w:i w:val="false"/>
                <w:color w:val="000000"/>
                <w:sz w:val="20"/>
              </w:rPr>
              <w:t>
осуществлено</w:t>
            </w:r>
            <w:r>
              <w:br/>
            </w:r>
            <w:r>
              <w:rPr>
                <w:rFonts w:ascii="Times New Roman"/>
                <w:b w:val="false"/>
                <w:i w:val="false"/>
                <w:color w:val="000000"/>
                <w:sz w:val="20"/>
              </w:rPr>
              <w:t>
обременение</w:t>
            </w:r>
            <w:r>
              <w:br/>
            </w:r>
            <w:r>
              <w:rPr>
                <w:rFonts w:ascii="Times New Roman"/>
                <w:b w:val="false"/>
                <w:i w:val="false"/>
                <w:color w:val="000000"/>
                <w:sz w:val="20"/>
              </w:rPr>
              <w:t>
и (или)</w:t>
            </w:r>
            <w:r>
              <w:br/>
            </w:r>
            <w:r>
              <w:rPr>
                <w:rFonts w:ascii="Times New Roman"/>
                <w:b w:val="false"/>
                <w:i w:val="false"/>
                <w:color w:val="000000"/>
                <w:sz w:val="20"/>
              </w:rPr>
              <w:t>
блокирование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bookmarkStart w:name="z9"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(Хаджиева М.Ж.):</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Алдамберген А.У.</w:t>
      </w:r>
    </w:p>
    <w:bookmarkEnd w:id="2"/>
    <w:p>
      <w:pPr>
        <w:spacing w:after="0"/>
        <w:ind w:left="0"/>
        <w:jc w:val="both"/>
      </w:pPr>
      <w:r>
        <w:rPr>
          <w:rFonts w:ascii="Times New Roman"/>
          <w:b w:val="false"/>
          <w:i/>
          <w:color w:val="000000"/>
          <w:sz w:val="28"/>
        </w:rPr>
        <w:t>      Председатель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