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67b8" w14:textId="f5a6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субъектов, осуществляющих деятельность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субъектов охранной деятельности, а также субъектов с хранением гражданского и служебного оружия и патронов к нему, взрывчатых веществ и материалов, гражданских пиротехнических веществ и изделий с их применением, ядовитых веществ, множительно-копировальной техники цветного изображения и штемпельно-граверных предприятий по изготовлению печатей и штампов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29 декабря 2009 года № 504 и Министра экономики и бюджетного планирования Республики Казахстан от 10 февраля 2010 года № 41. Зарегистрирован в Министерстве юстиции Республики Казахстан 18 февраля 2010 года № 6060. Утратил силу совместным приказом Министра внутренних дел Республики Казахстан от 28 марта 2011 года № 132 и Министра экономического развития и торговли Республики Казахстан от 11 апреля 2011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28.03.2011 № 132 и Министра экономического развития и торговли РК от 11.04.2011 № 100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субъектов, осуществляющих деятельность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субъектов охранной деятельности, а также субъектов с хранением гражданского и служебного оружия и патронов к нему, взрывчатых веществ и материалов, гражданских пиротехнических веществ и изделий с их применением, ядовитых веществ, множительно-копировальной техники цветного изображения и штемпельно-граверных предприятий по изготовлению печатей и штампов.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(Кабденов М.Т.):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городов Астаны,  Алматы, областей и на транспорте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Кулинич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С. Баймаганбетов      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декабря 2009 года             10 февраля 2010 года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504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2010 года № 41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субъектов,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деятельность по монтажу, наладке и техническому обслуживанию</w:t>
      </w:r>
      <w:r>
        <w:br/>
      </w:r>
      <w:r>
        <w:rPr>
          <w:rFonts w:ascii="Times New Roman"/>
          <w:b/>
          <w:i w:val="false"/>
          <w:color w:val="000000"/>
        </w:rPr>
        <w:t>
средств охранной сигнализации, за исключением деятельности при</w:t>
      </w:r>
      <w:r>
        <w:br/>
      </w:r>
      <w:r>
        <w:rPr>
          <w:rFonts w:ascii="Times New Roman"/>
          <w:b/>
          <w:i w:val="false"/>
          <w:color w:val="000000"/>
        </w:rPr>
        <w:t>
выполнении строительно-монтажных работ, субъектов охранной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деятельности, а также субъектов с хранением гражданского и</w:t>
      </w:r>
      <w:r>
        <w:br/>
      </w:r>
      <w:r>
        <w:rPr>
          <w:rFonts w:ascii="Times New Roman"/>
          <w:b/>
          <w:i w:val="false"/>
          <w:color w:val="000000"/>
        </w:rPr>
        <w:t>
служебного оружия и патронов к нему, взрывчатых веществ и</w:t>
      </w:r>
      <w:r>
        <w:br/>
      </w:r>
      <w:r>
        <w:rPr>
          <w:rFonts w:ascii="Times New Roman"/>
          <w:b/>
          <w:i w:val="false"/>
          <w:color w:val="000000"/>
        </w:rPr>
        <w:t>
материалов, гражданских пиротехнических веществ и изделий с их</w:t>
      </w:r>
      <w:r>
        <w:br/>
      </w:r>
      <w:r>
        <w:rPr>
          <w:rFonts w:ascii="Times New Roman"/>
          <w:b/>
          <w:i w:val="false"/>
          <w:color w:val="000000"/>
        </w:rPr>
        <w:t>
применением, ядовитых веществ, множительно-копировальной</w:t>
      </w:r>
      <w:r>
        <w:br/>
      </w:r>
      <w:r>
        <w:rPr>
          <w:rFonts w:ascii="Times New Roman"/>
          <w:b/>
          <w:i w:val="false"/>
          <w:color w:val="000000"/>
        </w:rPr>
        <w:t>
техники цветного изображения и штемпельно-граверных предприятий</w:t>
      </w:r>
      <w:r>
        <w:br/>
      </w:r>
      <w:r>
        <w:rPr>
          <w:rFonts w:ascii="Times New Roman"/>
          <w:b/>
          <w:i w:val="false"/>
          <w:color w:val="000000"/>
        </w:rPr>
        <w:t>
по изготовлению печатей и штампов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разработаны для проведения плановых проверок субъектов, осуществляющих деятельность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субъектов охранной деятельности, а также субъектов с хранением гражданского и служебного оружия и патронов к нему (далее - оружие), взрывчатых веществ и материалов, гражданских пиротехнических веществ и изделий с их применением, ядовитых веществ, множительно-копировальной техники цветного изображения и штемпельно-граверных предприятий по изготовлению печатей и штампов (далее - субъекты регулирования).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жизни и здоровью граждан, собственности, а также создания угрозы общественной безопасности, с учетом степени тяжести его последствий, выразившаяся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создании незаконных военизированных формирований или преступных организаций, функционировании охранных структур с иностранным участием, использовании охранных организаций для дестабилизации обстановки в стране, совершения противоправных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переходе оружия, взрывчатых и ядовитых веществ в нелегальный оборот, использовании их в противоправных целях, в том числе при совершении актов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незаконном изготовлении денежных знаков и ценных бумаг, печатной продукции, содержащей призывы к насильственному изменению конституционного строя, нарушению целостности государства, подрыву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система оценки рисков - это комплекс мероприятий, проводимый уполномоченными на осуществление контрольных функций сотрудниками лицензионно-разрешительной системы и государственной службы охраны органов внутренних дел, с целью планирования проверок подконтрольных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критерии оценки степени риска - совокупность количественных и качественных показателей, связанных с непосредственной деятельностью объектов, особенностями их отраслевого развития и факторами, влияющими на это развитие, позволяющими отнести их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Периодичность проведения плановых проверок определяется в зависимости от степени риска с периодичностью не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- при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три года - при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пять лет - при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подразделяются на 2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- основаны на значимости рисков, возможных при осуществлении деятельности субъектов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- определяются в зависимости от допущенных субъектами регулирования нарушений установленных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состоят из значительных и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Первичное отнесение субъектов регулирования по степеням рисков осуществляется только на основе объективных критериев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Вторичное отнесение субъектов регулирования по степеням рисков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регулирования, входящие в 3 группу незначительной степени риска, при совершении в течение проверяемого периода одного значительного или двух незначительных нарушений переводятся во 2 группу средней степени риска, а при совершении трех значительных нарушений - в 1 группу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регулирования, входящие во 2 группу средней степени риска, при совершении в течение проверяемого периода одного значительного или двух незначительных нарушений переводятся в 1 группу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последней плановой проверкой нарушений, субъекты регулирования переводятся в группу меньшей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регулирования, отнесенные к 1 группе высокой степени риска, не могут быть переведены в более низкую группу риска и подлежат ежегодным проверкам.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Субъекты регулирования, отнесенные к 2 и 3 группам риска, включаются в план проверок с учетом даты последней проверки.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оценки степени риска субъектов с хранением оружия</w:t>
      </w:r>
      <w:r>
        <w:br/>
      </w:r>
      <w:r>
        <w:rPr>
          <w:rFonts w:ascii="Times New Roman"/>
          <w:b/>
          <w:i w:val="false"/>
          <w:color w:val="000000"/>
        </w:rPr>
        <w:t>
и патронов к нему, взрывчатых веществ и материалов, гражданских</w:t>
      </w:r>
      <w:r>
        <w:br/>
      </w:r>
      <w:r>
        <w:rPr>
          <w:rFonts w:ascii="Times New Roman"/>
          <w:b/>
          <w:i w:val="false"/>
          <w:color w:val="000000"/>
        </w:rPr>
        <w:t>
пиротехнических веществ и изделий с их применением, ядовитых</w:t>
      </w:r>
      <w:r>
        <w:br/>
      </w:r>
      <w:r>
        <w:rPr>
          <w:rFonts w:ascii="Times New Roman"/>
          <w:b/>
          <w:i w:val="false"/>
          <w:color w:val="000000"/>
        </w:rPr>
        <w:t>
веществ, множительно-копировальной техники цветного изображения</w:t>
      </w:r>
      <w:r>
        <w:br/>
      </w:r>
      <w:r>
        <w:rPr>
          <w:rFonts w:ascii="Times New Roman"/>
          <w:b/>
          <w:i w:val="false"/>
          <w:color w:val="000000"/>
        </w:rPr>
        <w:t>
и штемпельно-граверных предприятий по изготовлению</w:t>
      </w:r>
      <w:r>
        <w:br/>
      </w:r>
      <w:r>
        <w:rPr>
          <w:rFonts w:ascii="Times New Roman"/>
          <w:b/>
          <w:i w:val="false"/>
          <w:color w:val="000000"/>
        </w:rPr>
        <w:t>
печатей и штампов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регулирования по объективным критериям подразделяются на следующие группы рисков: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группа с высокой степенью риска - юридические лица, использующие и хранящие оружие, взрывчатые и ядовитые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группа со средней степенью риска - юридические лица и индивидуальные предприниматели, хранящие и использующие гражданские пиротехнические вещества и изделия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группа с незначительной степенью риска - юридические лица, хранящие и использующие множительно-копировальную технику цветного изображения, а также штемпельно-граверные предприятия (юридические лица и индивидуальные предприниматели) по изготовлению печатей и штампов.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разрешения на хранение оружия, взрывчатых и ядовитых веществ, гражданских пиротехнических изделий, множительно-копировальной техники цветного изображения, функционирование штемпельно-граверного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разрешения на перевозку оружия, взрывчатых и ядовитых веществ, гражданских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разрешения на хранение и ношение служебного оружия у работников объектов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служебного оружия не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хранение оружия в неустановленном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допущение фактов хищения или утраты оружия, взрывчатых и ядовитых веществ, гражданских пиротехнических изделий, множительно-копировальной техники цветного изображения, печатей и штампов;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нарушение порядка ведения учета оружия, взрывчатых и ядовитых веществ, гражданских пиротехнических изделий, множительно-копировальной техники цветного изображения, печатей и штампов;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либо неисправность охранно-пожарной сигнализации в помещении для хранения оружия, взрывчатых и ядовитых веществ, гражданских пиротехнических изделий, множительно-копировальной техники цветного изображения, печатей и штампов;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нарушение технической укрепленности помещения для хранения оружия, взрывчатых и ядовитых веществ, гражданских пиротехнических изделий, множительно-копировальной техники цветного изображения, печатей и штампов;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ввоз (вывоз) на территорию республики оружия, взрывчатых и ядовитых веществ, гражданских пиротехнических изделий, множительно-копировальной техники цветного изображения без разрешения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отсутствие сертификата соответствия на продаваемое магазинами оружие и патроны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несоответствие квалификационным требованиям лиц, имеющих доступ к оружию, взрывчатым и ядовитым веществам, гражданским пиротехническим изделиям, множительно-копировальной техники цветного изображения, печатям и штампам.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незначительным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несоблюдение сроков регистрации приобретенного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несвоевременная регистрация филиалами (представительствами) субъектов регулирования оружия при его получении на баланс;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несвоевременное продление разрешения на хранение оружия, взрывчатых и ядовитых веществ, гражданских пиротехнических изделий, множительно-копировальной техники цветного изображения, функционирование штемпельно-граверного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несвоевременное продление индивидуальных разрешений на хранение и ношение служебного оружия работниками объектов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непредставление, либо несвоевременное представление отчета о количестве поступившего и реализованного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превышение допустимой нормы на складах хранения взрывчатых и ядовитых веществ, гражданских пиротехнических изделий.</w:t>
      </w:r>
    </w:p>
    <w:bookmarkEnd w:id="7"/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Критерии оценки степени риска субъектов,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деятельность по монтажу, наладке и техническому обслуживанию</w:t>
      </w:r>
      <w:r>
        <w:br/>
      </w:r>
      <w:r>
        <w:rPr>
          <w:rFonts w:ascii="Times New Roman"/>
          <w:b/>
          <w:i w:val="false"/>
          <w:color w:val="000000"/>
        </w:rPr>
        <w:t>
средств охранной сигнализации, за исключением деятельности при</w:t>
      </w:r>
      <w:r>
        <w:br/>
      </w:r>
      <w:r>
        <w:rPr>
          <w:rFonts w:ascii="Times New Roman"/>
          <w:b/>
          <w:i w:val="false"/>
          <w:color w:val="000000"/>
        </w:rPr>
        <w:t>
выполнении строительно-монтажных работ, субъектов охранной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объективным критериям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группа с высокой степенью риска - юридические и физические лица, осуществляющие охранную деятельность с использованием служебного и гражданского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группа со средней степенью риска - юридические и физические лица, осуществляющие охранную деятельность без использования служебного и гражданского оружия, а также занимающиеся деятельностью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допустившие нарушения в последние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группа с незначительной степенью риска - юридические и физические лица, осуществляющие охранную деятельность, а также занимающиеся деятельностью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не вошедшие в 1 и 2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иностранного участия в деятельности охранных структур;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 руководителя охранной структуры либо охранника психического заболевания, алкоголизма, наркомании;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 руководителя охранной структуры либо охранника судимости за совершение умышленного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у руководителя охранной структуры высшего юридического образования или стажа работы не менее трех лет на командных должностях в Вооруженных Силах или на руководящих должностях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у руководителя охранной структуры либо охранника свидетельства о прохождении специальных курсов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помещения, предназначенного для хранения оружия и боеприпасов (либо договора на их хранение в помещениях, отвечающих установленным требованиям), в случае использования служебного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совершение преступлений руководителями охранных структур и охранниками при исполнении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у производителей работ по установке систем безопасности допуска к работам с высоким напряжением (до 1000 вольт).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незначительным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невыполнение предписаний и других законных требований сотрудников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несвоевременное прохождение руководителем охранной структуры либо охранником курсов повышения квалификации (специальный курс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несоблюдение субъектом регулирования письменной формы заключения договоров об оказании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нарушение установленного норматива штатной численности охранников при охране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руководителя охранной структуры либо охранника возрастному цензу;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несоблюдение требований об обязательном страховании работников, занимающих должности охранников;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ношение работниками охранных структур при исполнении служебных обязанностей форменной одежды неустановленного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у руководителя организации по установке систем безопасности высшего технического образования (для физических лиц - высшего или среднего специального образования), соответствующего профилю работ в сфере технической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отсутствие в организации по установке систем безопасности заключения органов санитарного и экологического надзора об использовании оборудования с радиочастотным спектром;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отсутствие в организации по установке систем безопасности специального оборудования и помещения, отвечающего санитарным и экологическим нормам.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