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8441" w14:textId="1be8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Енбекшильдерского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15 июня 2009 года № С-16/3. Зарегистрировано Управлением юстиции Енбекшильдерского района Акмолинской области 17 июня 2009 года № 1-10-88. Утратило силу - решением Енбекшильдерского районного маслихата Акмолинской области от 10 ноября 2011 года № С-37/4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решением Енбекшильдерского районного маслихата Акмолинской области от 10.11.2011 </w:t>
      </w:r>
      <w:r>
        <w:rPr>
          <w:rFonts w:ascii="Times New Roman"/>
          <w:b w:val="false"/>
          <w:i w:val="false"/>
          <w:color w:val="000000"/>
          <w:sz w:val="28"/>
        </w:rPr>
        <w:t>№ С-37/4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«О налогах и других обязательных платежах в бюджет»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всех налогоплательщиков, осуществляющих деятельность на территории Енбекшильдерского района Акмолинской области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районного маслихата «Об утверждении ставок фиксированного суммарного налога» от 25 июня 2007 года № С-46/5 (зарегистрировано в Реестре государственной регистрации нормативных правовых актов за № 1-10-61, опубликовано в газетах от 17 августа 2007 года «Жаңа дәуір» и 18 августа 2007 года «Сельская новь»).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И.Усанин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Енбекшильдерскому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Д. Нурахов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 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Р. Нургалиев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2009 года № С-16/3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</w:t>
      </w:r>
      <w:r>
        <w:br/>
      </w:r>
      <w:r>
        <w:rPr>
          <w:rFonts w:ascii="Times New Roman"/>
          <w:b/>
          <w:i w:val="false"/>
          <w:color w:val="000000"/>
        </w:rPr>
        <w:t>
налогоплательщиков,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>
на территории Енбекшильдерского района Акмолинской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393"/>
        <w:gridCol w:w="4173"/>
      </w:tblGrid>
      <w:tr>
        <w:trPr>
          <w:trHeight w:val="14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фиксированного налога (в месячных расчетных показателях)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Бильярдный стол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