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98fe" w14:textId="c329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24 декабря 2009 года N 159. Зарегистрировано Управлением юстиции Мугалжарского района Актюбинской области 20 января 2010 года N 3-9-113. Утратило силу решением маслихата Мугалжарского района Актюбинской области от 31 марта 2011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31.03.2011 № 245.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N 95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"Об областном бюджете на 2010-2012 годы" N 232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 7 354 819,4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 6 046 250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 37 750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 1 230 819,4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 7 677 748,4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                 23 165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 23 739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    -347 094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347 094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Мугалжарского района Актюбинской области от 16.02.2010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21.04.2010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2010-2012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2010 год целевые текущие трансферты в республиканский бюджет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объемах трансфертов общего характера между республиканским и областными бюджетами, бюджетами города областного значения, столицы на 2008-2010 годы" в общей сумме 64 538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2010 -2012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- 14 952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1 413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14 952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2010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- 27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налог- 27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2010 год размер бюджетного изъятия в областной бюджет в размере 3 346 586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Мугалжарского района Актюбинской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2010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6 697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11 600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12 816 тысяч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войны,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тысяч тенге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14 914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42 168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39 085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Мугалжарского района Актюбинской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2010 год поступление целевых трансфертов из республиканского бюджета на реализацию стратегии региональной занятости и переподготовки кадров в сумме 215 743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210 463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5 280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решениями маслихата Мугалжарского района Актюбинской области от 16.07.2010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2010 год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на реализацию мер социальной поддержки специалистов социальной сферы сельских населенных пунктов в сумме 4 075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23 739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решением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2010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19 268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8 190 тысяч тенге -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11 078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областном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23 737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44 662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2010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водоснабжения населенных пунктов – 143 798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решением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районном бюджете на 2010 год предусмотрены целевые текущие трансферты и трансферты на развитие бюджету района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горячим питанием учащихся 1-4 классов – 52 840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пожарной сигнализации и средств пожаротушения – 31 475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организаций образования – 72 932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организаций культуры – 4 968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90 532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и инвалидам Великой Отечественной войны, лицам приравненных к участникам и инвалидам Великой Отечественной войны и труженикам тыла в годы Великой отечественной войны к 65-летию Победы в Великой Отечественной войне – 6 117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водообеспечения питьевой водой в населенных пунктах – 2 495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194 025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– 19 630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заработной платы работникам бюджетной сферы – 42 131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техническое обслуживание пунктов общественного доступа – 1 169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«Балапан» - 58 000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марафон-эстафеты «Расцвет села- расцвет Казахстана» - 29 965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услуги по настройке системы электронного документооборота в рамках Единой транспортной среды государственных органов – 175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решениями маслихата Мугалжарского района Актюбинской области от 16.02.2010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  21.04.2010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16.07.2010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2010 год поступление целевых текущих трансфертов и трансфертов на развитие из областного бюджета на реализацию региональной занятости и переподготовки кадров в сумме 45 781,4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45 781,4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</w:t>
      </w:r>
      <w:r>
        <w:rPr>
          <w:rFonts w:ascii="Times New Roman"/>
          <w:b w:val="false"/>
          <w:i w:val="false"/>
          <w:strike/>
          <w:color w:val="ff0000"/>
          <w:sz w:val="28"/>
        </w:rPr>
        <w:t xml:space="preserve">с изменениями, внесенными решением маслихата Мугалжарского района Актюбинской области от 16.07.2010 </w:t>
      </w:r>
      <w:r>
        <w:rPr>
          <w:rFonts w:ascii="Times New Roman"/>
          <w:b w:val="false"/>
          <w:i w:val="false"/>
          <w:strike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районном бюджете на 2010 год предусмотрены средства на реализацию региональной занятости и переподготовки кадров в сумме 39 260,1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39 260,1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решения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резерв местного исполнительного органа района на 2010 год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районных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перечень бюджетные программ аппарата акима района в городе, города районного значения, поселка, аула (села), аульного (сельского) округа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Председатель сессии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И.Б. ПЫХТЕЕВ                С.С. САЛЫКБАЕВ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159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713"/>
        <w:gridCol w:w="7113"/>
        <w:gridCol w:w="2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7 354 819,4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6 081 955,0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264 964,0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264 964,0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259 065,0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259 065,0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5 284 596,0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5 205 576,0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243 150,0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178 250,0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58 400,0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1 240,0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30 180,0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22 045,0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5 200,0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1 230 819,4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1 230 819,4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1 230 819,4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711 940,4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518 879,0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04"/>
        <w:gridCol w:w="1053"/>
        <w:gridCol w:w="845"/>
        <w:gridCol w:w="6585"/>
        <w:gridCol w:w="29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7 677 748,4
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214 769,0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185 189,0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39 784,0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131 581,0</w:t>
            </w:r>
          </w:p>
        </w:tc>
      </w:tr>
      <w:tr>
        <w:trPr>
          <w:trHeight w:val="10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128 271,0</w:t>
            </w:r>
          </w:p>
        </w:tc>
      </w:tr>
      <w:tr>
        <w:trPr>
          <w:trHeight w:val="7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18 428,0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11 152,0</w:t>
            </w:r>
          </w:p>
        </w:tc>
      </w:tr>
      <w:tr>
        <w:trPr>
          <w:trHeight w:val="15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10 972,0</w:t>
            </w:r>
          </w:p>
        </w:tc>
      </w:tr>
      <w:tr>
        <w:trPr>
          <w:trHeight w:val="66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2 607 009,0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353 958,0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2 009 805,0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2 009 805,0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1 976 769,0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243 246,0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18 604,0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215 725,0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215 725,0</w:t>
            </w:r>
          </w:p>
        </w:tc>
      </w:tr>
      <w:tr>
        <w:trPr>
          <w:trHeight w:val="43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271 566,0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250 255,0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2 123,0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248 132,0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78 794,0</w:t>
            </w:r>
          </w:p>
        </w:tc>
      </w:tr>
      <w:tr>
        <w:trPr>
          <w:trHeight w:val="15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15 645,0</w:t>
            </w:r>
          </w:p>
        </w:tc>
      </w:tr>
      <w:tr>
        <w:trPr>
          <w:trHeight w:val="4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38 300,0</w:t>
            </w:r>
          </w:p>
        </w:tc>
      </w:tr>
      <w:tr>
        <w:trPr>
          <w:trHeight w:val="190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3 126,0</w:t>
            </w:r>
          </w:p>
        </w:tc>
      </w:tr>
      <w:tr>
        <w:trPr>
          <w:trHeight w:val="27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466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21 311,0</w:t>
            </w:r>
          </w:p>
        </w:tc>
      </w:tr>
      <w:tr>
        <w:trPr>
          <w:trHeight w:val="102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640 176,1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182 218,0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145 633,0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401 712,1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311 180,1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23 130,0</w:t>
            </w:r>
          </w:p>
        </w:tc>
      </w:tr>
      <w:tr>
        <w:trPr>
          <w:trHeight w:val="138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220 632,1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90 532,0</w:t>
            </w:r>
          </w:p>
        </w:tc>
      </w:tr>
      <w:tr>
        <w:trPr>
          <w:trHeight w:val="3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90 532,0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56 246,0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46 546,0</w:t>
            </w:r>
          </w:p>
        </w:tc>
      </w:tr>
      <w:tr>
        <w:trPr>
          <w:trHeight w:val="3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26 780,0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4 844,0</w:t>
            </w:r>
          </w:p>
        </w:tc>
      </w:tr>
      <w:tr>
        <w:trPr>
          <w:trHeight w:val="5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241 808,1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114 141,7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3 770,0</w:t>
            </w:r>
          </w:p>
        </w:tc>
      </w:tr>
      <w:tr>
        <w:trPr>
          <w:trHeight w:val="11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37 128,0</w:t>
            </w:r>
          </w:p>
        </w:tc>
      </w:tr>
      <w:tr>
        <w:trPr>
          <w:trHeight w:val="5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73 668,4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64 185,4</w:t>
            </w:r>
          </w:p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55 672,4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3 342,0</w:t>
            </w:r>
          </w:p>
        </w:tc>
      </w:tr>
      <w:tr>
        <w:trPr>
          <w:trHeight w:val="69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302 050,0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232 693,0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4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42 168,0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45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19 442,2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5 790,2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5 790,2</w:t>
            </w:r>
          </w:p>
        </w:tc>
      </w:tr>
      <w:tr>
        <w:trPr>
          <w:trHeight w:val="9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2 221,2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13 652,0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3 346 591,0</w:t>
            </w:r>
          </w:p>
        </w:tc>
      </w:tr>
      <w:tr>
        <w:trPr>
          <w:trHeight w:val="6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3 346 586,0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23 165,0
</w:t>
            </w:r>
          </w:p>
        </w:tc>
      </w:tr>
      <w:tr>
        <w:trPr>
          <w:trHeight w:val="12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3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9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813"/>
      </w:tblGrid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-347 094,0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347 094,0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1013"/>
        <w:gridCol w:w="813"/>
        <w:gridCol w:w="615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23 739,0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13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73"/>
        <w:gridCol w:w="1013"/>
        <w:gridCol w:w="813"/>
        <w:gridCol w:w="6093"/>
        <w:gridCol w:w="28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323 929,0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323 929,0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323 929,0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159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13"/>
        <w:gridCol w:w="2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1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6803981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6519620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290725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285930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5636055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273080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1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РК, за исключением поступлений от организаций нефтяного сектора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231540,7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231540,7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231540,7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131055,7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53"/>
        <w:gridCol w:w="753"/>
        <w:gridCol w:w="683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6803980,7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246376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152216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149398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2478820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19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</w:t>
            </w:r>
          </w:p>
        </w:tc>
      </w:tr>
      <w:tr>
        <w:trPr>
          <w:trHeight w:val="10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190615,7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753"/>
        <w:gridCol w:w="26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-44596,4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44596,4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713"/>
        <w:gridCol w:w="2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44 596,4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44 596,4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44 596,4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159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413"/>
        <w:gridCol w:w="279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7530496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7045770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316056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310014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6087965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295235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РК, за исключением поступлений от организаций нефтяного сектора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427856,3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427856,3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100398,3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673"/>
        <w:gridCol w:w="2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7530496,3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168422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2418983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соревнаваний на районном (города областного значения) уровне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192083,3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38792,3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3470415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3470415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653"/>
        <w:gridCol w:w="28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-45470,9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6633"/>
        <w:gridCol w:w="2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43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45 470,9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45 470,9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45 470,9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159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13"/>
        <w:gridCol w:w="873"/>
        <w:gridCol w:w="953"/>
        <w:gridCol w:w="1053"/>
        <w:gridCol w:w="77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N 159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Мугалжарского района Актюбинской области от 22.10.2010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2853"/>
        <w:gridCol w:w="2267"/>
        <w:gridCol w:w="2465"/>
        <w:gridCol w:w="2364"/>
        <w:gridCol w:w="2221"/>
      </w:tblGrid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"Поддержка организаций дошкольного воспитания и обучения"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15 263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1 020,0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128 271 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2 123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9 427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26 780,0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1993"/>
        <w:gridCol w:w="2093"/>
        <w:gridCol w:w="2213"/>
        <w:gridCol w:w="283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санитарии населенных пунктов"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мест захоронени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 и погребение безродных"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ойство и озеленение населенных пунктов"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автомобильных дорог в городах районного значения, паселках, аулах (селах), аульных (сельских) округах"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3133"/>
        <w:gridCol w:w="3153"/>
        <w:gridCol w:w="2813"/>
      </w:tblGrid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"Капитальный ремонт зданий и сооружений"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"Материально- техническое оснащение государственных органов"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65 778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17 104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9 660 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10 113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10 286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8 734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8 712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7 539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6 626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