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2090" w14:textId="c392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23 декабря 2008 года N 11/116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22 декабря 2009 года N 19/218. Зарегистрировано Управлением юстиции города Жезказган Карагандинской области 25 декабря 2009 года N 8-2-99.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8-2-69 от 29 декабря 2008 года и официально опубликовано в N 1 (75), N 2 (76) от 9, 16 января и N 3 (77) от 21 января 2009 года газеты "Жезказганская газета"),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XIV сессии Жезказганского городского маслихата от 24 апреля 2009 года N 14/173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8-2-81 от 15 мая 2009 года и официально опубликовано в N 35 (109) от 20 мая и N 37 (111) от 27 мая 2009 года газеты "Жезказганская газета"),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31 июля 2009 года N 16/186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8-2-94 от 12 августа 2009 года и официально опубликовано в N 60 (134) от 19 августа, N 62 (136) от 26 августа, N 65 (139) от 9 сентября и N 66 (140) от 11 сентября 2009 года газеты "Жезказганская правда"),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XVII сессии Жезказганского городского маслихата от 11 сентября 2009 года N 17/200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8-2-96 от 28 сентября 2009 года и официально опубликовано в N 73 (147) от 07 октября и N 75 (149) от 14 октября 2009 года газеты "Жезказганская правда"),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XVIII сессии Жезказганского городского маслихата от 24 ноября 2009 года N 18/206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8-2-98 от 2 декабря 2009 года и официально опубликовано в N 91 (165) от 09 декабря 2009 года и N 94 (168) от 23 декабря 2009 года газеты "Жезказганская правда")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экономики и </w:t>
      </w:r>
      <w:r>
        <w:rPr>
          <w:rFonts w:ascii="Times New Roman"/>
          <w:b w:val="false"/>
          <w:i/>
          <w:color w:val="000000"/>
          <w:sz w:val="28"/>
        </w:rPr>
        <w:t>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</w:t>
      </w:r>
      <w:r>
        <w:rPr>
          <w:rFonts w:ascii="Times New Roman"/>
          <w:b w:val="false"/>
          <w:i/>
          <w:color w:val="000000"/>
          <w:sz w:val="28"/>
        </w:rPr>
        <w:t xml:space="preserve">города Жезказган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А.А. </w:t>
      </w:r>
      <w:r>
        <w:rPr>
          <w:rFonts w:ascii="Times New Roman"/>
          <w:b w:val="false"/>
          <w:i/>
          <w:color w:val="000000"/>
          <w:sz w:val="28"/>
        </w:rPr>
        <w:t>Кудабаева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2009 года N 19/218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N 11/116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759"/>
        <w:gridCol w:w="638"/>
        <w:gridCol w:w="658"/>
        <w:gridCol w:w="9114"/>
        <w:gridCol w:w="203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 (тыс. тенге)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3902771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3210858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1386170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1386170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1289570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1353796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12 до 30 процентов, произведенные на территории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12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коммунальной собственности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финансирующихся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669108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335016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58"/>
        <w:gridCol w:w="899"/>
        <w:gridCol w:w="919"/>
        <w:gridCol w:w="8578"/>
        <w:gridCol w:w="206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3980904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161061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20991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1835495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166834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1431704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1274052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74288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252274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236677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81053</w:t>
            </w:r>
          </w:p>
        </w:tc>
      </w:tr>
      <w:tr>
        <w:trPr>
          <w:trHeight w:val="11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1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563903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224512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213528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118528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119444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55228</w:t>
            </w:r>
          </w:p>
        </w:tc>
      </w:tr>
      <w:tr>
        <w:trPr>
          <w:trHeight w:val="10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291864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62876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округах)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245233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09"/>
        <w:gridCol w:w="829"/>
        <w:gridCol w:w="891"/>
        <w:gridCol w:w="8668"/>
        <w:gridCol w:w="213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за счет внутренних источников финансовым агентствам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860"/>
        <w:gridCol w:w="820"/>
        <w:gridCol w:w="8629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78"/>
        <w:gridCol w:w="698"/>
        <w:gridCol w:w="879"/>
        <w:gridCol w:w="8617"/>
        <w:gridCol w:w="221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-116195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811"/>
        <w:gridCol w:w="692"/>
        <w:gridCol w:w="912"/>
        <w:gridCol w:w="8625"/>
        <w:gridCol w:w="21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