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4482" w14:textId="a194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2010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ноября 2009 года № 21/234. Зарегистрировано Департаментом юстиции Мангистауской области № 2063 от 30 декабря 2009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ставки платы за эмиссии в окружающую среду на 2010 год по Мангистауской области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Иманбаев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 </w:t>
      </w:r>
      <w:r>
        <w:rPr>
          <w:rFonts w:ascii="Times New Roman"/>
          <w:b w:val="false"/>
          <w:i/>
          <w:color w:val="000000"/>
          <w:sz w:val="28"/>
        </w:rPr>
        <w:t>Б. Чельпеков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2009 года № 21/234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на 2010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Ставки платы за выбросы загрязняющих веществ от стационарных источников: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5498"/>
        <w:gridCol w:w="3229"/>
        <w:gridCol w:w="2431"/>
      </w:tblGrid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5408"/>
        <w:gridCol w:w="5491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199320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3.Ставки платы за выбросы загрязняющих веществ в атмосферный воздух от передвижных источников: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7277"/>
        <w:gridCol w:w="4012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сбросы загрязняющих веществ: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8595"/>
        <w:gridCol w:w="2945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5.Ставки платы за размещение отходов производства и потребления: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4"/>
        <w:gridCol w:w="7428"/>
        <w:gridCol w:w="1752"/>
        <w:gridCol w:w="1836"/>
      </w:tblGrid>
      <w:tr>
        <w:trPr>
          <w:trHeight w:val="30" w:hRule="atLeast"/>
        </w:trPr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гигабек- керель (Гбк)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Коэффициенты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данном решении: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1, - 0,3;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4, - 0,43;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строкой 1.3.5. пункта 5, - 0,05;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5, - 0,2.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Коэффициенты, предусмотренные пунктом 6 настоящего решения, не распространяются на платежи за сверхнормативный объем эмиссий в окружающую среду.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эмиссии в окружающую среду сверх установленных лимитов ставки платы, установленные в данном решении, увеличиваются в десять раз.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