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5026" w14:textId="1355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10 апреля 2009 года № 188. Зарегистрировано Управлением юстиции города Рудного Костанайской области 18 мая 2009 года № 9-2-135. Утратило силу решением маслихата города Рудного Костанайской области от 4 мая 2016 года №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Рудного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единые ставки фиксированного налога для всех налогоплательщиков, осуществляющих деятельность на административной территории города Рудного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маслихата города Рудного Костанайской области от 30.11.2011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"Налоговое управление по городу Рудному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Налогового департамента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_____________________Е. Зикеев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10.04.2009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  <w:r>
        <w:br/>
      </w:r>
      <w:r>
        <w:rPr>
          <w:rFonts w:ascii="Times New Roman"/>
          <w:b/>
          <w:i w:val="false"/>
          <w:color w:val="000000"/>
        </w:rPr>
        <w:t>для всех налогоплательщиков,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на административной территории города Рудного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7602"/>
        <w:gridCol w:w="2716"/>
      </w:tblGrid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