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7295" w14:textId="6337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Аркалыка на 2010-2012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23 декабря 2009 года № 212. Зарегистрировано Управлением юстиции города Аркалыка Костанайской области 31 декабря 2009 года № 9-3-120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Аркалыка на 2010-2012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2938630,0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718291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– 2098053,0 тысяч тенге, из них объем субвенций – 945872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2915099,4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3) чистое бюджетное кредитование - 11323,0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- 11564,0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-23692,4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обеспечение покрытия дефицита бюджета за счет заимствования и используемых остатков бюджетных средств в сумме 23933,4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11564,0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города Аркалыка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21.04.2010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12.07.2010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22.10.2010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08.12.2010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Учесть, что в городском бюджете предусмотрены целевые текущие трансферты из областного бюджета в сумме 150000,0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химии государственных учреждений начального, основного среднего и общего среднего образования в сумме 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молодежи из числа социально защищаемых слоев населения в сумме 3378,0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зарыбление водоемов в сумме 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 в сумме 1181,0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спортивного зала, входной группы и фойе в государственном коммунальном казенном предприятии "Детско-юношеский центр "Жас-Улан" отдела образования акимата города Аркалыка в сумме 10000,0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восстановление лифтового хозяйства в жилом девяти этажном доме № 28 по улице Байтурсынова в сумме 8000,0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городском бюджете предусмотрены целевые текущие трансферты, полученные из республиканского бюджета в общей сумме 214520,0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12291,0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22164,0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 в сумме 5255,0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ликвидацию чрезвычайных ситуаций в государственном коммунальном казенном предприятии "Детско-юношеский центр "Жас-Улан" отдела образования акимата города Аркалыка в сумме 18275,02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в сумме 33077,0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проезда участникам и инвалидам Великой Отечественной Войны к 65-летию Победы в Великой Отечественной Войне в сумме 268,0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Великой Отечественной Войны к 65-летию Победы в Великой Отечественной Войне в сумме 7404,0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в сумме 70800,0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в области ветеринарии в сумме 16957,0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социальной сферы сельских населенных пунктов в сумме 1632,0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8722,0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санитарную очистку села Родина в сумме 15000,0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городском бюджете на 2010 год предусмотрено поступление займов с республиканского бюджета в сумме 11564,0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сумме 209180,0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городском бюджете предусмотрено доиспользование неиспользованных трансфертов на развитие, выделенных из республиканского бюджета в 2009 году по проекту "Реконструкция водоснабжения из подземных источников села Фурманово города Аркалыка Костанайской области" в сумме 7 111,6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маслихата города Аркалыка Костанайской области от 21.04.2010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 от 12.07.2010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городском бюджете на 2010 год предусмотрены целевые текущие трансферты в областной бюджет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объемах трансфертов общего характера между республиканским и областными бюджетами, бюджетами города республиканского значения, столицы на 2008-2010 годы" от 27 ноября 2007 года в общей сумме 127978,0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 развития бюджета города Аркалыка на 2010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программ, не подлежащих секвестру в процессе исполнения бюджета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 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Аркалыкского городского маслихата          А. Жанбаев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Агуанов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___________________    Н. Гайдаренко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декабря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акимата города Аркалыка"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 Мухамбетжанова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28 декабря 2009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города Аркалыка Костанайской области от 08.12.2010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93"/>
        <w:gridCol w:w="373"/>
        <w:gridCol w:w="8113"/>
        <w:gridCol w:w="21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2938630,0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817225,0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339911,0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339911,0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320452,0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320452,0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122513,0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65432,0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34888,0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29341,0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4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19482,0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12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7961,0</w:t>
            </w:r>
          </w:p>
        </w:tc>
      </w:tr>
      <w:tr>
        <w:trPr>
          <w:trHeight w:val="6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6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</w:p>
        </w:tc>
      </w:tr>
      <w:tr>
        <w:trPr>
          <w:trHeight w:val="9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10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16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</w:tr>
      <w:tr>
        <w:trPr>
          <w:trHeight w:val="18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7043,0</w:t>
            </w:r>
          </w:p>
        </w:tc>
      </w:tr>
      <w:tr>
        <w:trPr>
          <w:trHeight w:val="6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6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2098053,0</w:t>
            </w:r>
          </w:p>
        </w:tc>
      </w:tr>
      <w:tr>
        <w:trPr>
          <w:trHeight w:val="6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2098053,0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2098053,0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74"/>
        <w:gridCol w:w="733"/>
        <w:gridCol w:w="753"/>
        <w:gridCol w:w="7173"/>
        <w:gridCol w:w="211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2915099,4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168150,2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145687,2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45509,9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45509,9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88489,3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86033,3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13728,0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1928,0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1262571,9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93991,5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93991,5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93991,5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1127961,9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1127961,9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1055588,3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72373,6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40618,5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29839,5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6523,5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18275,0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336053,6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315570,6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315570,6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105976,0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52409,0</w:t>
            </w:r>
          </w:p>
        </w:tc>
      </w:tr>
      <w:tr>
        <w:trPr>
          <w:trHeight w:val="15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24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оплаты 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 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4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июня 1941 года по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года в воинских 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 в 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 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гг." или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595041,0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213029,0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205126,0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205126,0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355780,0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132140,0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132140,0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223640,0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26232,0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85531,0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34480,0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3278,0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234776,7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15682,0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7737,0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115210,0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115084,0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33712,0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5774,0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20709,0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7229,0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69655,0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69655,0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-23692,4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23692,4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12369,4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города Аркалыка Костанайской области от 11.02.2010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633"/>
        <w:gridCol w:w="493"/>
        <w:gridCol w:w="8253"/>
        <w:gridCol w:w="21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 на 2011 год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2252314,0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720142,0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319561,0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319561,0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268118,0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268118,0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1524936,0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1524936,0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1524936,0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33"/>
        <w:gridCol w:w="673"/>
        <w:gridCol w:w="713"/>
        <w:gridCol w:w="7353"/>
        <w:gridCol w:w="225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 на 2011 год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2252314,0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191101,0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52274,0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52274,0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94667,0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94667,0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11824,0</w:t>
            </w:r>
          </w:p>
        </w:tc>
      </w:tr>
      <w:tr>
        <w:trPr>
          <w:trHeight w:val="12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1512207,0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116262,0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116262,0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1379962,0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1379962,0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1283806,0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12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6778,0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305416,0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279391,0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279391,0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27523,0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147502,0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34411,0</w:t>
            </w:r>
          </w:p>
        </w:tc>
      </w:tr>
      <w:tr>
        <w:trPr>
          <w:trHeight w:val="16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26025,0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26025,0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26611,0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26611,0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39091,0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39091,0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45414,0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4723,0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8876,0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города Аркалыка Костанайской области от 11.02.2010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513"/>
        <w:gridCol w:w="8213"/>
        <w:gridCol w:w="22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 год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2503596,0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723443,0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320949,0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320949,0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269244,0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269244,0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1772874,0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1772874,0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1772874,0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13"/>
        <w:gridCol w:w="693"/>
        <w:gridCol w:w="673"/>
        <w:gridCol w:w="7353"/>
        <w:gridCol w:w="227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2503596,0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213051,0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180488,0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57918,0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57918,0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19438,0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13125,0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1698728,0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1551091,0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1551091,0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1443363,0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8322,0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326490,0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297501,0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297501,0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29725,0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154007,0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37164,0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28989,0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28989,0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27916,0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42218,0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50684,0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50684,0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15369,0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21747,0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21747,0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27206,0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19124,0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9903,0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развития бюджета</w:t>
      </w:r>
      <w:r>
        <w:br/>
      </w:r>
      <w:r>
        <w:rPr>
          <w:rFonts w:ascii="Times New Roman"/>
          <w:b/>
          <w:i w:val="false"/>
          <w:color w:val="000000"/>
        </w:rPr>
        <w:t>
города Аркалыка на 2010 год с разделением</w:t>
      </w:r>
      <w:r>
        <w:br/>
      </w:r>
      <w:r>
        <w:rPr>
          <w:rFonts w:ascii="Times New Roman"/>
          <w:b/>
          <w:i w:val="false"/>
          <w:color w:val="000000"/>
        </w:rPr>
        <w:t>
на бюджетные программы, направленные на реализацию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проектов (программ)</w:t>
      </w:r>
      <w:r>
        <w:br/>
      </w:r>
      <w:r>
        <w:rPr>
          <w:rFonts w:ascii="Times New Roman"/>
          <w:b/>
          <w:i w:val="false"/>
          <w:color w:val="000000"/>
        </w:rPr>
        <w:t>
и на формирование или увеличение уставного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капитала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города Аркалыка Костанайской области от 08.12.2010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73"/>
        <w:gridCol w:w="753"/>
        <w:gridCol w:w="753"/>
        <w:gridCol w:w="7013"/>
        <w:gridCol w:w="20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775013,7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428766,0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205126,0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205126,0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223640,0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программ,</w:t>
      </w:r>
      <w:r>
        <w:br/>
      </w:r>
      <w:r>
        <w:rPr>
          <w:rFonts w:ascii="Times New Roman"/>
          <w:b/>
          <w:i w:val="false"/>
          <w:color w:val="000000"/>
        </w:rPr>
        <w:t xml:space="preserve">
не подлежащих секвестру в процессе исполнения </w:t>
      </w:r>
      <w:r>
        <w:br/>
      </w:r>
      <w:r>
        <w:rPr>
          <w:rFonts w:ascii="Times New Roman"/>
          <w:b/>
          <w:i w:val="false"/>
          <w:color w:val="000000"/>
        </w:rPr>
        <w:t>
бюджета города Аркалыка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93"/>
        <w:gridCol w:w="693"/>
        <w:gridCol w:w="673"/>
        <w:gridCol w:w="96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