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2711" w14:textId="98f2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23 апреля 2009 года № 169. Зарегистрировано Управлением юстиции города Лисаковска Костанайской области 1 июня 2009 года № 9-4-143. Утратило силу решением маслихата города Лисаковска Костанайской области от 7 февраля 2018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07.02.2018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в пункте 1 указанного решения на казахском языке слова "ставкаларын", "ставкалары" заменены словами "мөлшерлемелерін", "мөлшерлемелері", текст на русском языке не изменяется решением маслихата города Лисаковска Костанайской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 Лисаковский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на единицу объекта налогообложения в месяц для всех налогоплательщиков, осуществляющих деятельность на административной территории города Лисаковска: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игровой автомат без выигрыша, предназначенный для проведения игры с одним игроком - 1 месячный расчетный показатель;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игровой автомат без выигрыша, предназначенный для проведения игры с участием более одного игрока - 1 месячный расчетный показатель;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компьютер, используемый для проведения игры - 1 месячный расчетный показатель;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игровая дорожка - 5 месячных расчетных показателя;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 – 2 месячных расчетных показателя;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бильярдный стол – 3 месячных расчетных показателя.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Киселева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Кривошея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"Налоговое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Лисаковску"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М. Уржанов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