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bb7" w14:textId="b90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ставки земельного налога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февраля 2009 года № 145. Зарегистрировано Управлением юстиции Алтынсаринского района Костанайской области 16 марта 2009 года № 9-5-88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Кодекса Республики Казахстан "О налогах и других обязательных платежах в бюджет" далее (Налоговый Кодекс) от 10 декабря 2008 года № IV-99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на основании проектов (схем) зонировании земель, проводимого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представленных данных налоговым управлением по Алтынсаринскому району,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налоговые ставки земельного налога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земли сельскохозяйственного назначения на 50 процентов;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земли промышленности, расположенные вне населенных пунктов на 50 процентов;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земли населенных пунктов (за исключением придомовых земельных участков) на 50 процентов; (приложение 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Алтынсаринского районного маслихата от 17 апреля № 68 "Об увеличении ставки земельного налога на 2008 год" (номер государственной регистрации 9-5-68 от 24 мая 2008 года, опубликованного в газете "Таза-бүлақ Чистый родник" от 12 июня № 22).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седьмой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Т. Кульмагамбетов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увеличения базовой налоговой ставки</w:t>
      </w:r>
      <w:r>
        <w:br/>
      </w:r>
      <w:r>
        <w:rPr>
          <w:rFonts w:ascii="Times New Roman"/>
          <w:b/>
          <w:i w:val="false"/>
          <w:color w:val="000000"/>
        </w:rPr>
        <w:t>
на земли промышленности, расположенных</w:t>
      </w:r>
      <w:r>
        <w:br/>
      </w:r>
      <w:r>
        <w:rPr>
          <w:rFonts w:ascii="Times New Roman"/>
          <w:b/>
          <w:i w:val="false"/>
          <w:color w:val="000000"/>
        </w:rPr>
        <w:t>
вне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(в расчете на 1 гектар площади)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273"/>
        <w:gridCol w:w="3573"/>
        <w:gridCol w:w="403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 бонитета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налоговая ставка (тенге)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увеличения ставки на 50 процентов (тенге) (графа 2 умножить на 50 процентов)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налоговая ставка с учетом увеличения на 50 процентов(тенге) (графа 2 плюс графа 3)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36,18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48,26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49,85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69,98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71,57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73,16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74,75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79,61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увеличения базовой налоговой ставки</w:t>
      </w:r>
      <w:r>
        <w:br/>
      </w:r>
      <w:r>
        <w:rPr>
          <w:rFonts w:ascii="Times New Roman"/>
          <w:b/>
          <w:i w:val="false"/>
          <w:color w:val="000000"/>
        </w:rPr>
        <w:t>
на земли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(в расчете на 1 гектар площади)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453"/>
        <w:gridCol w:w="3473"/>
        <w:gridCol w:w="383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 бонитета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налоговая ставка (тенге)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увеличения ставки на 50 процентов (тенге) (графа 2 умножить на 50 процентов)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налоговая ставка с учетом увеличения на 50 процентов (тенге) (графа 2 плюс графа 3)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723,75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981,12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1073,52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388,68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1258,52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1443,44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1535,94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1626,99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1708,05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1783,61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1859,03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1931,60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2010,44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2085,99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2161,61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745,73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2237,18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2312,82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2388,38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увеличения базовой налоговой ставки</w:t>
      </w:r>
      <w:r>
        <w:br/>
      </w:r>
      <w:r>
        <w:rPr>
          <w:rFonts w:ascii="Times New Roman"/>
          <w:b/>
          <w:i w:val="false"/>
          <w:color w:val="000000"/>
        </w:rPr>
        <w:t>
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придомовых земельных участков)</w:t>
      </w:r>
      <w:r>
        <w:br/>
      </w:r>
      <w:r>
        <w:rPr>
          <w:rFonts w:ascii="Times New Roman"/>
          <w:b/>
          <w:i w:val="false"/>
          <w:color w:val="000000"/>
        </w:rPr>
        <w:t>
(в расчете на 1 квадратный метр площади)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533"/>
        <w:gridCol w:w="2353"/>
        <w:gridCol w:w="317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населенного пункта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Базовые ставки налога на земли населенных пунктов, за исключением земель, занятых жилищных фондов, в том числе строениями и сооружениями при нем (тенге)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увеличения ставки на 50 процентов (тенге) (графа 2 умножить на 50 процентов)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налоговая ставка с учетом увеличения на 50 процентов (тенге) (графа 2 плюс графа 3)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(аулы)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