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b69b" w14:textId="785b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рынках Карабалыкского района (за день торговли)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июля 2009 года № 173. Зарегистрировано Управлением юстиции Карабалыкского района Костанайской области 19 августа 2009 года № 9-12-119. Утратило силу - Решением маслихата Карабалыкского района Костанайской области от 30 сентября 2009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Карабалыкского района Костанайской области от 30.09.2009 №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 10 декабря 2008 года, на основании письма Налогового управления по Карабалыкскому району Налогового департамента по Костанайской области Налогового комитета Министерства финансов Республики Казахстан" от 23 июля 2009 года № 39-07-ЦПОИ-03/3274,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стоимость разовых талонов на рынках Карабалыкского района (за день торговли) для физических лиц,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 стоимость разовых талонов на рынках Карабалыкского района (за день торговли)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 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Карабалыкскому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Журсиналин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29.07.2009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173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на рынках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(за день торговли)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473"/>
        <w:gridCol w:w="1733"/>
        <w:gridCol w:w="15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предпринимательской деятельности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в день на одно торговое место (тенге)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рынке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 рынка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садоводства, огородничества и дачных участков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ягод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173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на рынках Карабалыкского района (за день торговли)</w:t>
      </w:r>
      <w:r>
        <w:br/>
      </w:r>
      <w:r>
        <w:rPr>
          <w:rFonts w:ascii="Times New Roman"/>
          <w:b/>
          <w:i w:val="false"/>
          <w:color w:val="000000"/>
        </w:rPr>
        <w:t>
для физических лиц,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</w:t>
      </w:r>
      <w:r>
        <w:br/>
      </w:r>
      <w:r>
        <w:rPr>
          <w:rFonts w:ascii="Times New Roman"/>
          <w:b/>
          <w:i w:val="false"/>
          <w:color w:val="000000"/>
        </w:rPr>
        <w:t>
оказанию услуг на рынках, за исключением реализации</w:t>
      </w:r>
      <w:r>
        <w:br/>
      </w:r>
      <w:r>
        <w:rPr>
          <w:rFonts w:ascii="Times New Roman"/>
          <w:b/>
          <w:i w:val="false"/>
          <w:color w:val="000000"/>
        </w:rPr>
        <w:t>
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изолированных блоках)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3216"/>
        <w:gridCol w:w="2854"/>
        <w:gridCol w:w="2085"/>
        <w:gridCol w:w="2150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Порядковый номер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рынка и товарная специализация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реализуемых товаров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место на рынке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в день на одно торговое место (тенге)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рынок "Максим"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товары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мясо продукты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бывшие в употреблении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животные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