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8d6b" w14:textId="5c88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от 20 февраля 2006 года № 35 "а" "Об Инструкции по организации и финансированию социальных рабочих мест"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22 апреля 2009 года № 93. Зарегистрировано управлением юстиции Узункольского района Костанайской области 5 мая 2009 года № 9-19-101. Утратило силу постановлением акимата Узункольского района Костанайской области от 14 мая 2014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Сноска. Утратило силу постановлением акимата Узункольского района Костанайской области от 14.05.2014 № 120 (вводится в действие со дня подписания).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района от 20 февраля 2006 года № 35 "а" "Об Инструкции по организации и финансированию социальных рабочих мест" (зарегистрировано в Реестре государственной регистрации нормативных правовых актов № 9-19-17, "Нұрлы жол" от 13 апреля 2006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после слов "О местном государственном управлении" дополнить словами "и самоуправлении";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"(Сакенова Б.Д.)"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инструкции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работодателей на оплату труда безработных, трудоустроенных на социальные рабочие места, на "молодежную практику" компенсируются из средств районного бюджета в размере минимальной заработной платы. Расчеты по перечислению бюджетных средств производятся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     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