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1d18" w14:textId="6d7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 района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12 февраля 2009 года N 23/2. Зарегистрировано Управлением юстиции Павлодарского района Павлодарской области 6 марта 2009 года за N 106. Утратило силу постановлением акимата Павлодарского района Павлодарской области от 07 февраля 2012 года N 52/2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07.02.2012 N 52/2.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 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  года "О занятости населения" в целях содействия занятости  безработных граждан из целевых групп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безработных граждан района из целевых групп населения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отдел занятости и социальных программ  заключение договоров на организацию социальных рабочих мест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дополнительный перечень лиц, относящихся к целевым группам,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порядок отбора работодателей, предлагающих организацию социальных рабочих мест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прилагаемую Инструкцию по организации и финансированию социальных рабочих мест для трудоустройства безработных граждан района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Обеспечить финансирование социальных рабочих мест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заработную плату принятых на социальные рабочие места работников в размере не менее минимальной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4 декабря 2008 года "О республиканском бюджете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района от 15 февраля 2006 года N 54/2 "О целевых группах населения района", зарегистрированное в Реестре государственной регистрации нормативных правовых актов за N 12-11-22, опубликованное в газете "Нива" от 2 марта 2006 года, постановление акимата района от 2 апреля 2008 года N 125/4 " О внесении изменений в постановление акимата Павлодарского района от 15 февраля 2006 года N 54/2 "О целевых группах населения района", зарегистрированное в Реестре государственной регистрации нормативных правовых актов за N 12-11-93, опубликованное в газете "Нива" от 1 мая 2008 года,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 от 12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N 23/2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пунктами 4, 5, 6, 7, 8, 9, 10 в соответствии с постановлением акимата Павлодарского района Павлодарской области от 28.01.2010 </w:t>
      </w:r>
      <w:r>
        <w:rPr>
          <w:rFonts w:ascii="Times New Roman"/>
          <w:b w:val="false"/>
          <w:i w:val="false"/>
          <w:color w:val="ff0000"/>
          <w:sz w:val="28"/>
        </w:rPr>
        <w:t>N 7/1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ограничения в труде по справкам врачебно-контрольной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Одинокие безработные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Воины-интернационалисты.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 после снятия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Выпускники организаций высшего и послевузовского образования, средних учебных заведений,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государственной адресной социальной помощи, получатели государственного детского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длительное время не работающие (более года).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района от 12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за N 23/2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 безработных</w:t>
      </w:r>
      <w:r>
        <w:br/>
      </w:r>
      <w:r>
        <w:rPr>
          <w:rFonts w:ascii="Times New Roman"/>
          <w:b/>
          <w:i w:val="false"/>
          <w:color w:val="000000"/>
        </w:rPr>
        <w:t>
граждан из целевых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Работодатель подает заявку на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районного бюджета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 акимата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12 февраля 2009 года N 23/2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 для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безработных граждан района из целевых групп населения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детализирует организацию и финансирование социальных рабочих мест для трудоустройства безработных граждан района из целевых групп населения, регулируют основные условия и систему расчетов с работодателями, которые создадут и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безработных граждан, трудоустроенных на социальные рабочие места, регулируются законодательством Республики Казахстан о труде,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местным исполнительным органом,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–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безработных граждан района из целевых групп населения на социальные рабочие места осуществляется уполномоченным органом – отделом занятости и социальных программ Павлодарского района (далее - уполномоченный орган).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и трудоустройства на них безработных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Социальные рабочие места организуются специально для безработных граждан района из целевых групп населения по договорам между уполномоченным органом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рабочие места для трудоустройства безработных граждан района из целевых групп населения предоставляются или создаются предприятиями и организациями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Отбор предприятий, предлагающих организацию социальных рабочих мест, производится уполномоченным органом.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Источники финансирования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рабочих мест из средств районного бюджета осуществляется по программе 002 "Программа занятости"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вопросам занятости населения заключает с работодателями договор по возмещению части заработной платы работника, принятого на социальное рабочее место, за счет средств районного бюджета не более установленной по республике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Перечисление бюджетных средств на компенсацию части оплаты труда работников, принятых на социальные рабочие места, производятся на расчетные счета работодателей.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организацией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финансированием социальных рабочих мест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Контроль за соблюдением настоящей Инструкции по  организации и финансированию социальных рабочих мест осуществляется государственными органами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