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039c" w14:textId="c670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(10 сессия, 4 созыв) от 22 декабря 2008 года N 10/74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30 июля 2009 года N 13/109. Зарегистрировано Управлением юстиции 3 августа 2009 года N 12-11-111. Утратило силу в связи с истечением срока действия (письмо маслихата Павлодарского района  Павлодарской области от 14 февраля 2011 года N 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маслихата Павлодарского района Павлодарской области от 14.02.2011 N 27).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от 4 декабря  2008 года Бюджетного Кодекса Республики Казахстан,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(10 сессия, 4 созыв) от 22 декабря 2008 года N 10/74 "О районном бюджете на 2009 год" (зарегистрированное в реестре государственной регистрации нормативных правовых актов N 12-11-102, опубликовано в газете "Нива" от 3 января 2009 года N 1) с последующими изменениями и дополнениями,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(12 сессия, 4 созыв) от 27 апреля 2009 года N 12/85 "О внесении изменений и дополнений в решение районного маслихата (10 сессия, 4 созыв) от 22 декабря 2008 года N 10/74 "О районном бюджете на 2009 год" (зарегистрированное в реестре государственной регистрации нормативных правовых актов N 12-11-107 от 29 апреля 2009 года, опубликовано в газете "Нива" от 1 мая 2009 года N 18),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1 633 488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1 123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1 338 950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1 658 360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-24 872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24 872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4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Кожахметов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(13 сессия, 4 созыв) от 30 июля 2009 года N 13/109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(10сессия, 4 созыв) от 22 декабря 2008 года N 10/74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612"/>
        <w:gridCol w:w="677"/>
        <w:gridCol w:w="7588"/>
        <w:gridCol w:w="251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1 633 488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90 923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90 923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90 862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90 862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83 938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63 445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</w:t>
            </w:r>
          </w:p>
        </w:tc>
      </w:tr>
      <w:tr>
        <w:trPr>
          <w:trHeight w:val="13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18 882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18 882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1 338 950</w:t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1 338 950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1 338 950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403"/>
        <w:gridCol w:w="856"/>
        <w:gridCol w:w="726"/>
        <w:gridCol w:w="6838"/>
        <w:gridCol w:w="258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1 658 360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205 903</w:t>
            </w:r>
          </w:p>
        </w:tc>
      </w:tr>
      <w:tr>
        <w:trPr>
          <w:trHeight w:val="9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188 212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67 016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67 016</w:t>
            </w:r>
          </w:p>
        </w:tc>
      </w:tr>
      <w:tr>
        <w:trPr>
          <w:trHeight w:val="9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112 227</w:t>
            </w:r>
          </w:p>
        </w:tc>
      </w:tr>
      <w:tr>
        <w:trPr>
          <w:trHeight w:val="9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112 227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</w:t>
            </w:r>
          </w:p>
        </w:tc>
      </w:tr>
      <w:tr>
        <w:trPr>
          <w:trHeight w:val="5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1 013 059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29 146</w:t>
            </w:r>
          </w:p>
        </w:tc>
      </w:tr>
      <w:tr>
        <w:trPr>
          <w:trHeight w:val="9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29 146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29 146</w:t>
            </w:r>
          </w:p>
        </w:tc>
      </w:tr>
      <w:tr>
        <w:trPr>
          <w:trHeight w:val="7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903 551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14 498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14 498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889 053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876 400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6 696</w:t>
            </w:r>
          </w:p>
        </w:tc>
      </w:tr>
      <w:tr>
        <w:trPr>
          <w:trHeight w:val="10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80 362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45 222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</w:t>
            </w:r>
          </w:p>
        </w:tc>
      </w:tr>
      <w:tr>
        <w:trPr>
          <w:trHeight w:val="12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комплектов для государственных учреждений образования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</w:tr>
      <w:tr>
        <w:trPr>
          <w:trHeight w:val="9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23 844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35 140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35 140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9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9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98 361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87 977</w:t>
            </w:r>
          </w:p>
        </w:tc>
      </w:tr>
      <w:tr>
        <w:trPr>
          <w:trHeight w:val="9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7 223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7 223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80 754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28 234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9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41 251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</w:t>
            </w:r>
          </w:p>
        </w:tc>
      </w:tr>
      <w:tr>
        <w:trPr>
          <w:trHeight w:val="16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 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79 113</w:t>
            </w:r>
          </w:p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58 381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</w:p>
        </w:tc>
      </w:tr>
      <w:tr>
        <w:trPr>
          <w:trHeight w:val="7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49 654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12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20 232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20 232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9 529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122 098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86 631</w:t>
            </w:r>
          </w:p>
        </w:tc>
      </w:tr>
      <w:tr>
        <w:trPr>
          <w:trHeight w:val="10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14 574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14 574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72 057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72 057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20 946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16 132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</w:tr>
      <w:tr>
        <w:trPr>
          <w:trHeight w:val="7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11 787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6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12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40 672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9 645</w:t>
            </w:r>
          </w:p>
        </w:tc>
      </w:tr>
      <w:tr>
        <w:trPr>
          <w:trHeight w:val="7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</w:p>
        </w:tc>
      </w:tr>
      <w:tr>
        <w:trPr>
          <w:trHeight w:val="12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</w:p>
        </w:tc>
      </w:tr>
      <w:tr>
        <w:trPr>
          <w:trHeight w:val="7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6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</w:t>
            </w:r>
          </w:p>
        </w:tc>
      </w:tr>
      <w:tr>
        <w:trPr>
          <w:trHeight w:val="10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74 513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30 744</w:t>
            </w:r>
          </w:p>
        </w:tc>
      </w:tr>
      <w:tr>
        <w:trPr>
          <w:trHeight w:val="9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27 144</w:t>
            </w:r>
          </w:p>
        </w:tc>
      </w:tr>
      <w:tr>
        <w:trPr>
          <w:trHeight w:val="9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27 144</w:t>
            </w:r>
          </w:p>
        </w:tc>
      </w:tr>
      <w:tr>
        <w:trPr>
          <w:trHeight w:val="10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7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43 769</w:t>
            </w:r>
          </w:p>
        </w:tc>
      </w:tr>
      <w:tr>
        <w:trPr>
          <w:trHeight w:val="10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43 769</w:t>
            </w:r>
          </w:p>
        </w:tc>
      </w:tr>
      <w:tr>
        <w:trPr>
          <w:trHeight w:val="13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43 008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11 351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9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</w:tr>
      <w:tr>
        <w:trPr>
          <w:trHeight w:val="10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4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7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-24 872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(13 сессия, 4 созыв) от 30 июля 2009 года N 13/109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(10 сессия, 4 созыв) от 22 декабря 2008 года N 10/74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района на 2009 год,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1"/>
        <w:gridCol w:w="796"/>
        <w:gridCol w:w="754"/>
        <w:gridCol w:w="934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 Наименование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(13 сессия, 4 созыв) от 30 июля 2009 года N 13/109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(10сессия, 4 созыв) от 22 декабря 2008 года N 10/74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в</w:t>
      </w:r>
      <w:r>
        <w:br/>
      </w:r>
      <w:r>
        <w:rPr>
          <w:rFonts w:ascii="Times New Roman"/>
          <w:b/>
          <w:i w:val="false"/>
          <w:color w:val="000000"/>
        </w:rPr>
        <w:t>
разрезе сельских округов на 2009год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89"/>
        <w:gridCol w:w="695"/>
        <w:gridCol w:w="695"/>
        <w:gridCol w:w="93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 Наименование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с. Пресное
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Григорьевского сельского округа
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Ефремовского сельского округа
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Жетекши
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Зангарского сельского округа
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Заринского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Кенесского сельского округа
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Красноармейского сельского округа
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Луганского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Мичуринского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Маралдинского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Ольгинка
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Рождественского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Чернорецкого сельского округа
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Черноярского сельского округа
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Шакатского сельского округа
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