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8910" w14:textId="7ef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23 декабря 2008 года N 14-3-IV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октября 2009 года N 20-2-IV. Зарегистрировано Управлением юстиции   Бородулихинского района Департамента юстиции Восточно-Казахстанской области 4 ноября 2009 года за N 5-8-96.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октября 2009 года № 15/202-IV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№ 2514 от 26 октября 2009 года),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2009 год» от 23 декабря 2008 года № 14-3-IV (зарегистрировано в Реестре государственной регистрации нормативных правовых актов за № 5-8-72 от 30 декабря 2008 года, опубликовано в районной газете «Пульс района» от 8 января 2009 года № 2 (6264), от 16 января 2009 года № 3 (6265),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16-4-IV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за № 5-8-82 от 24 февраля 2009 года, опубликовано в районной газете «Пульс района» от 27 февраля 2009 года № 9-10 (6271-6272)),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2009 года № 17-2-IV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за № 5-8-85 от 28 апреля 2009 года, опубликовано в районной газете «Пульс района» от 8 мая 2009 года № 22-23 (6284-6285)),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2009 года № 18-10-IV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за № 5-8-91 от 24 июля 2009 года, опубликовано в районной газете «Пульс района» от 31 июля 2009 года № 35-36 (6297-6298))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1961732,6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1531440,6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1979355,7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- 17623,1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17623,1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Уменьшить целевые текущие трансферты, предусмотренные за счет средств областного бюджета в сумме 1024,3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- 58,3 тысяч тенге на оформление правоустанавливающих документов, технического паспорта и государственного акта на землепользование по объекту «Реконструкции Бельагачского группового водопровода 1-я очередь, 2-я очередь»;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- 966 тысяч тенге на социальную помощь отдельным категориям нуждающихся граждан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уменьшить средства на оказание материальной помощи молодым специалистам (учителям, врачам), желающим работать в селах и аулах после завершения учебного заведения -847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обучения детей из малообеспеченных семей в высших учебных заведениях (стоимость обучения, стипендии, проживание в общежитии) - 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увеличены средства на оказание материальной помощи некоторым категория граждан (участникам ВОВ и инвалидам ВОВ, лицам, приравненным к участникам ВОВ и инвалидам ВОВ семьям погибших военнослужащих) - 142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Уменьшить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- 19 тысяч тенге на 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Увеличить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- 5,3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«в том числе в сфере здравоохранения 267,3 тысяч тенге»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     А. Майер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 Б. Аргумбаев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20-2-IV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44"/>
        <w:gridCol w:w="1042"/>
        <w:gridCol w:w="1143"/>
        <w:gridCol w:w="6096"/>
        <w:gridCol w:w="2694"/>
      </w:tblGrid>
      <w:tr>
        <w:trPr>
          <w:trHeight w:val="51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1961732,6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417390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143883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94311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67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75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130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8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8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7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1531440,6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1531440,6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1531440,6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178201,6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950"/>
        <w:gridCol w:w="513"/>
        <w:gridCol w:w="764"/>
        <w:gridCol w:w="821"/>
        <w:gridCol w:w="6421"/>
        <w:gridCol w:w="2775"/>
      </w:tblGrid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1979355,7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191042,7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168786,7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53472,7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1155704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1010595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1009930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992798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992798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122565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113878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2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2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259163,6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30248,6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213434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9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57309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51661,9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13827,9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9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9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-17623,1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 Б. Курманбаев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20-2-IV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Затраты по коду программы 123.001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      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      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      округа»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      округов на 2009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4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101008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 Б. Курманбаев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20-2-IV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123.003.000 «Оказание</w:t>
      </w:r>
      <w:r>
        <w:br/>
      </w:r>
      <w:r>
        <w:rPr>
          <w:rFonts w:ascii="Times New Roman"/>
          <w:b/>
          <w:i w:val="false"/>
          <w:color w:val="000000"/>
        </w:rPr>
        <w:t>
      социальной помощи нуждающимся гражданам на дому»</w:t>
      </w:r>
      <w:r>
        <w:br/>
      </w:r>
      <w:r>
        <w:rPr>
          <w:rFonts w:ascii="Times New Roman"/>
          <w:b/>
          <w:i w:val="false"/>
          <w:color w:val="000000"/>
        </w:rPr>
        <w:t>
      в 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      на 2009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16580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 Б. Курманбаев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20-2-IV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123.008.000 «Освещение</w:t>
      </w:r>
      <w:r>
        <w:br/>
      </w:r>
      <w:r>
        <w:rPr>
          <w:rFonts w:ascii="Times New Roman"/>
          <w:b/>
          <w:i w:val="false"/>
          <w:color w:val="000000"/>
        </w:rPr>
        <w:t>
      улиц населенных пунктов»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      округов на 2009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53"/>
        <w:gridCol w:w="27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9139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Бель-Агачского с/о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 Б. Курманбаев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20-2-IV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123.009.000 «Обеспечение</w:t>
      </w:r>
      <w:r>
        <w:br/>
      </w:r>
      <w:r>
        <w:rPr>
          <w:rFonts w:ascii="Times New Roman"/>
          <w:b/>
          <w:i w:val="false"/>
          <w:color w:val="000000"/>
        </w:rPr>
        <w:t>
      санитарии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2009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3421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 Б. Курманбаев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20-2-IV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123.011.000  «Благоустройство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      и озеленение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2009 год.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473"/>
        <w:gridCol w:w="2853"/>
      </w:tblGrid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