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3f9b" w14:textId="ace3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 Восточно-Казахстанской области от 18 февраля 2009 года N 14/5-IV. Зарегистрировано Управлением юстиции Глубоковского района Департамента юстиции Восточно-Казахстанской области 16 марта 2009 года за N 5-9-101. Утратило силу - решением Глубоковского районного маслихата от 27 июня 2012 года N 6/10-V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Глубоковского районного маслихата от 27.06.2012 N 6/10-V.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 размеры базовых ставок фиксированного налога на территории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Глубоковского районного маслихата от 13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>№ 25/13-III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ставках фиксированного суммарного налога», зарегистрировано в Реестре государственной регистрации нормативных правовых актов за № 5-9-55;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Глубоковского районного маслихата от 24 июля 2007 года  </w:t>
      </w:r>
      <w:r>
        <w:rPr>
          <w:rFonts w:ascii="Times New Roman"/>
          <w:b w:val="false"/>
          <w:i w:val="false"/>
          <w:color w:val="000000"/>
          <w:sz w:val="28"/>
        </w:rPr>
        <w:t>№ 29/6-III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решение от 13 декабря 2006 года № 25/13-III «О ставках фиксированного суммарного налога»», зарегистрировано в Реестре государственной регистрации нормативных правовых актов за № 5-9-69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М. Агзамов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А. Брагинец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2009 года № 14/5-IV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 на территории</w:t>
      </w:r>
      <w:r>
        <w:br/>
      </w:r>
      <w:r>
        <w:rPr>
          <w:rFonts w:ascii="Times New Roman"/>
          <w:b/>
          <w:i w:val="false"/>
          <w:color w:val="000000"/>
        </w:rPr>
        <w:t>
Глубоковского района*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909"/>
        <w:gridCol w:w="5035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налогообложения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  выигрыша,  предназначенный для  проведения игры с одним игроком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  выигрыша,  предназначенный для  проведения игры с  участием более одного  игрока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  используемый для  проведения игры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* размеры базовых ставок фиксированного налога установлены на единицу объекта налогообложения в месяц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