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756c" w14:textId="da57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Уральского городского маслихата от 30 октября 2007 года N 3-7 "О "Правилах застройки территории города Уральска"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3 августа 2009 года N 19-9. Зарегистрировано Управлением юстиции города Уральска Западно-Казахстанской области 25 августа 2009 года N 7-1-148. Утратило силу решением Уральского городского маслихата Западно-Казахстанской области от 5 июля 2013 года № 15-5</w:t>
      </w:r>
    </w:p>
    <w:p>
      <w:pPr>
        <w:spacing w:after="0"/>
        <w:ind w:left="0"/>
        <w:jc w:val="both"/>
      </w:pPr>
      <w:r>
        <w:rPr>
          <w:rFonts w:ascii="Times New Roman"/>
          <w:b w:val="false"/>
          <w:i w:val="false"/>
          <w:color w:val="ff0000"/>
          <w:sz w:val="28"/>
        </w:rPr>
        <w:t>      Сноска. Утратило силу решением Уральского городского маслихата Западно-Казахстанской области от 05.07.2013 года № 15-5</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 нормативных правовых актах" Уральский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решение Уральского городского маслихата "О "Правилах застройки территории города Уральска" от 30 октября 2007 года </w:t>
      </w:r>
      <w:r>
        <w:rPr>
          <w:rFonts w:ascii="Times New Roman"/>
          <w:b w:val="false"/>
          <w:i w:val="false"/>
          <w:color w:val="000000"/>
          <w:sz w:val="28"/>
        </w:rPr>
        <w:t>N 3-7</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за N 7-1-76, опубликованное 22 ноября 2007 года, 29 ноября 2007 года, 6 декабря 2007 года, 3 января 2008 года в газете "Жайық үні" и 29 ноября 2007 года, 6 декабря 2007 года, 20 декабря 2007 года в газете "Пульс города"), с учетом внесенных в него изменений решением Уральского городского маслихата от 23 декабря 2008 года </w:t>
      </w:r>
      <w:r>
        <w:rPr>
          <w:rFonts w:ascii="Times New Roman"/>
          <w:b w:val="false"/>
          <w:i w:val="false"/>
          <w:color w:val="000000"/>
          <w:sz w:val="28"/>
        </w:rPr>
        <w:t>N 13-16</w:t>
      </w:r>
      <w:r>
        <w:rPr>
          <w:rFonts w:ascii="Times New Roman"/>
          <w:b w:val="false"/>
          <w:i w:val="false"/>
          <w:color w:val="000000"/>
          <w:sz w:val="28"/>
        </w:rPr>
        <w:t xml:space="preserve"> "О внесении изменений в решение маслихата от 30 октября 2007 года N 3-7 "О "Правилах застройки территории города Уральска" (зарегистрированное в Реестре государственной регистрации нормативных правовых актов за N 7-1-121, опубликованное 1 января 2009 года в газете "Жайық үні" N 1 и 8 января 2009 года в газете "Пульс города" N 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внесено изменение в название решения на государственном языке, название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подпункт 11) пункта 8 "Правил застройки территории города Уральска" – исключить;</w:t>
      </w:r>
      <w:r>
        <w:br/>
      </w:r>
      <w:r>
        <w:rPr>
          <w:rFonts w:ascii="Times New Roman"/>
          <w:b w:val="false"/>
          <w:i w:val="false"/>
          <w:color w:val="000000"/>
          <w:sz w:val="28"/>
        </w:rPr>
        <w:t>
</w:t>
      </w:r>
      <w:r>
        <w:rPr>
          <w:rFonts w:ascii="Times New Roman"/>
          <w:b w:val="false"/>
          <w:i w:val="false"/>
          <w:color w:val="000000"/>
          <w:sz w:val="28"/>
        </w:rPr>
        <w:t>
      3) раздел 8 исключить;</w:t>
      </w:r>
      <w:r>
        <w:br/>
      </w:r>
      <w:r>
        <w:rPr>
          <w:rFonts w:ascii="Times New Roman"/>
          <w:b w:val="false"/>
          <w:i w:val="false"/>
          <w:color w:val="000000"/>
          <w:sz w:val="28"/>
        </w:rPr>
        <w:t>
</w:t>
      </w:r>
      <w:r>
        <w:rPr>
          <w:rFonts w:ascii="Times New Roman"/>
          <w:b w:val="false"/>
          <w:i w:val="false"/>
          <w:color w:val="000000"/>
          <w:sz w:val="28"/>
        </w:rPr>
        <w:t>
      4) в пункте 37 слова "Центр по недвижимости Западно-Казахстанской области" заменить словами "уполномоченный орган";</w:t>
      </w:r>
      <w:r>
        <w:br/>
      </w:r>
      <w:r>
        <w:rPr>
          <w:rFonts w:ascii="Times New Roman"/>
          <w:b w:val="false"/>
          <w:i w:val="false"/>
          <w:color w:val="000000"/>
          <w:sz w:val="28"/>
        </w:rPr>
        <w:t>
</w:t>
      </w:r>
      <w:r>
        <w:rPr>
          <w:rFonts w:ascii="Times New Roman"/>
          <w:b w:val="false"/>
          <w:i w:val="false"/>
          <w:color w:val="000000"/>
          <w:sz w:val="28"/>
        </w:rPr>
        <w:t>
      5) пункт 42 изложить в следующей редакции:</w:t>
      </w:r>
      <w:r>
        <w:br/>
      </w:r>
      <w:r>
        <w:rPr>
          <w:rFonts w:ascii="Times New Roman"/>
          <w:b w:val="false"/>
          <w:i w:val="false"/>
          <w:color w:val="000000"/>
          <w:sz w:val="28"/>
        </w:rPr>
        <w:t>
      "42. Разрешительными документами, предоставляющими заявителю право на реализацию его замысла по строительству нового или изменению существующего объекта, являются:</w:t>
      </w:r>
      <w:r>
        <w:br/>
      </w:r>
      <w:r>
        <w:rPr>
          <w:rFonts w:ascii="Times New Roman"/>
          <w:b w:val="false"/>
          <w:i w:val="false"/>
          <w:color w:val="000000"/>
          <w:sz w:val="28"/>
        </w:rPr>
        <w:t>
      постановление акимата города Уральска о предоставлении на подведомственной территории земельного участка (территории, трассы) под строительство заявленного объекта либо разрешение на использование под строительство участка, принадлежащего заявителю на праве собственности или землепользования;</w:t>
      </w:r>
      <w:r>
        <w:br/>
      </w:r>
      <w:r>
        <w:rPr>
          <w:rFonts w:ascii="Times New Roman"/>
          <w:b w:val="false"/>
          <w:i w:val="false"/>
          <w:color w:val="000000"/>
          <w:sz w:val="28"/>
        </w:rPr>
        <w:t>
      разрешение акимата города Уральска на проведение запрашиваемых изменений существующего объекта (отдельных частей объекта)";</w:t>
      </w:r>
      <w:r>
        <w:br/>
      </w:r>
      <w:r>
        <w:rPr>
          <w:rFonts w:ascii="Times New Roman"/>
          <w:b w:val="false"/>
          <w:i w:val="false"/>
          <w:color w:val="000000"/>
          <w:sz w:val="28"/>
        </w:rPr>
        <w:t>
</w:t>
      </w:r>
      <w:r>
        <w:rPr>
          <w:rFonts w:ascii="Times New Roman"/>
          <w:b w:val="false"/>
          <w:i w:val="false"/>
          <w:color w:val="000000"/>
          <w:sz w:val="28"/>
        </w:rPr>
        <w:t>
      6) подпункты 1, 2, 3 пункта 43 изложить в следующей редакции:</w:t>
      </w:r>
      <w:r>
        <w:br/>
      </w:r>
      <w:r>
        <w:rPr>
          <w:rFonts w:ascii="Times New Roman"/>
          <w:b w:val="false"/>
          <w:i w:val="false"/>
          <w:color w:val="000000"/>
          <w:sz w:val="28"/>
        </w:rPr>
        <w:t>
      "1) фамилия, имя, отчество, адрес и телефон заявителя, регистрационный номер налогоплательщика (РНН), либо индивидуальный идентификационный номер (ИИН) - для физических лиц;</w:t>
      </w:r>
      <w:r>
        <w:br/>
      </w:r>
      <w:r>
        <w:rPr>
          <w:rFonts w:ascii="Times New Roman"/>
          <w:b w:val="false"/>
          <w:i w:val="false"/>
          <w:color w:val="000000"/>
          <w:sz w:val="28"/>
        </w:rPr>
        <w:t>
      2) наименование организации, его государственный регистрационный номер, фамилия, имя, отчество руководителя, почтовый адрес и телефон, регистрационный номер налогоплательщика (РНН), либо бизнес идентификационный номер (БИН) – для юридических лиц;</w:t>
      </w:r>
      <w:r>
        <w:br/>
      </w:r>
      <w:r>
        <w:rPr>
          <w:rFonts w:ascii="Times New Roman"/>
          <w:b w:val="false"/>
          <w:i w:val="false"/>
          <w:color w:val="000000"/>
          <w:sz w:val="28"/>
        </w:rPr>
        <w:t>
      3) назначение и основные параметры намечаемого к строительству объекта (расчетная мощность, общая площадь, этажность, вместимость, пропускная способность и тому подобное)";</w:t>
      </w:r>
      <w:r>
        <w:br/>
      </w:r>
      <w:r>
        <w:rPr>
          <w:rFonts w:ascii="Times New Roman"/>
          <w:b w:val="false"/>
          <w:i w:val="false"/>
          <w:color w:val="000000"/>
          <w:sz w:val="28"/>
        </w:rPr>
        <w:t>
</w:t>
      </w:r>
      <w:r>
        <w:rPr>
          <w:rFonts w:ascii="Times New Roman"/>
          <w:b w:val="false"/>
          <w:i w:val="false"/>
          <w:color w:val="000000"/>
          <w:sz w:val="28"/>
        </w:rPr>
        <w:t>
      7) пункты 46 и 47 изложить в следующей редакции:</w:t>
      </w:r>
      <w:r>
        <w:br/>
      </w:r>
      <w:r>
        <w:rPr>
          <w:rFonts w:ascii="Times New Roman"/>
          <w:b w:val="false"/>
          <w:i w:val="false"/>
          <w:color w:val="000000"/>
          <w:sz w:val="28"/>
        </w:rPr>
        <w:t>
      "46. Сроки рассмотрения заявлений о предоставлении земельного участка под строительство заявленного объекта, а также дачи мотивированного отказа определяются Земельным кодексом.</w:t>
      </w:r>
      <w:r>
        <w:br/>
      </w:r>
      <w:r>
        <w:rPr>
          <w:rFonts w:ascii="Times New Roman"/>
          <w:b w:val="false"/>
          <w:i w:val="false"/>
          <w:color w:val="000000"/>
          <w:sz w:val="28"/>
        </w:rPr>
        <w:t>
      Разрешение на использование под строительство участка, принадлежащего заявителю на праве собственности или землепользования, рассматривается в течение 10 календарных дней для субъектов малого предпринимательства и 30 календарных дней для остальных юридических и физических лиц с момента подачи заявления.</w:t>
      </w:r>
      <w:r>
        <w:br/>
      </w:r>
      <w:r>
        <w:rPr>
          <w:rFonts w:ascii="Times New Roman"/>
          <w:b w:val="false"/>
          <w:i w:val="false"/>
          <w:color w:val="000000"/>
          <w:sz w:val="28"/>
        </w:rPr>
        <w:t>
      47. В случаях невозможности положительного решения о выдаче разрешения на использование под строительство участка, принадлежащего заказчику на праве собственности или землепользования, местные исполнительные органы обязаны в течение 10 календарных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в противоречие с которыми вступает его намерение осуществить данное строительство.</w:t>
      </w:r>
      <w:r>
        <w:br/>
      </w:r>
      <w:r>
        <w:rPr>
          <w:rFonts w:ascii="Times New Roman"/>
          <w:b w:val="false"/>
          <w:i w:val="false"/>
          <w:color w:val="000000"/>
          <w:sz w:val="28"/>
        </w:rPr>
        <w:t>
      Представление заявителем в местный исполнительный орган не достаточных, недостоверных либо не соответствующих законодательству или государственным нормативам заявочных документов является основанием для отказа в выдаче разрешительных документов.";</w:t>
      </w:r>
      <w:r>
        <w:br/>
      </w:r>
      <w:r>
        <w:rPr>
          <w:rFonts w:ascii="Times New Roman"/>
          <w:b w:val="false"/>
          <w:i w:val="false"/>
          <w:color w:val="000000"/>
          <w:sz w:val="28"/>
        </w:rPr>
        <w:t>
</w:t>
      </w:r>
      <w:r>
        <w:rPr>
          <w:rFonts w:ascii="Times New Roman"/>
          <w:b w:val="false"/>
          <w:i w:val="false"/>
          <w:color w:val="000000"/>
          <w:sz w:val="28"/>
        </w:rPr>
        <w:t>
      8) пункт 47 дополнить пунктом 47-1 следующего содержания:</w:t>
      </w:r>
      <w:r>
        <w:br/>
      </w:r>
      <w:r>
        <w:rPr>
          <w:rFonts w:ascii="Times New Roman"/>
          <w:b w:val="false"/>
          <w:i w:val="false"/>
          <w:color w:val="000000"/>
          <w:sz w:val="28"/>
        </w:rPr>
        <w:t>
      "47-1. По письменному заявлению заинтересованного физического или юридического лица (заявителя), имеющего намерение осуществить новое строительство либо произвести изменение существующего объекта, акиматом города Уральска в пределах его полномочий, установленных законодательными актами, принимается соответствующее решение:</w:t>
      </w:r>
      <w:r>
        <w:br/>
      </w:r>
      <w:r>
        <w:rPr>
          <w:rFonts w:ascii="Times New Roman"/>
          <w:b w:val="false"/>
          <w:i w:val="false"/>
          <w:color w:val="000000"/>
          <w:sz w:val="28"/>
        </w:rPr>
        <w:t>
      о предоставлении заявителю земельного участка (прирезке к имеющемуся дополнительного участка) под строительство запрашиваемого (планируемого) объекта;</w:t>
      </w:r>
      <w:r>
        <w:br/>
      </w:r>
      <w:r>
        <w:rPr>
          <w:rFonts w:ascii="Times New Roman"/>
          <w:b w:val="false"/>
          <w:i w:val="false"/>
          <w:color w:val="000000"/>
          <w:sz w:val="28"/>
        </w:rPr>
        <w:t>
      о выдаче разрешения на использование участка, принадлежащего заявителю на праве собственности или землепользования, под строительство запрашиваемого (планируемого) объекта;</w:t>
      </w:r>
      <w:r>
        <w:br/>
      </w:r>
      <w:r>
        <w:rPr>
          <w:rFonts w:ascii="Times New Roman"/>
          <w:b w:val="false"/>
          <w:i w:val="false"/>
          <w:color w:val="000000"/>
          <w:sz w:val="28"/>
        </w:rPr>
        <w:t>
      о выдаче разрешения на изменение существующих (эксплуатируемых) объектов.";</w:t>
      </w:r>
      <w:r>
        <w:br/>
      </w:r>
      <w:r>
        <w:rPr>
          <w:rFonts w:ascii="Times New Roman"/>
          <w:b w:val="false"/>
          <w:i w:val="false"/>
          <w:color w:val="000000"/>
          <w:sz w:val="28"/>
        </w:rPr>
        <w:t>
</w:t>
      </w:r>
      <w:r>
        <w:rPr>
          <w:rFonts w:ascii="Times New Roman"/>
          <w:b w:val="false"/>
          <w:i w:val="false"/>
          <w:color w:val="000000"/>
          <w:sz w:val="28"/>
        </w:rPr>
        <w:t>
      9) пункт 48 изложить в следующей редакции:</w:t>
      </w:r>
      <w:r>
        <w:br/>
      </w:r>
      <w:r>
        <w:rPr>
          <w:rFonts w:ascii="Times New Roman"/>
          <w:b w:val="false"/>
          <w:i w:val="false"/>
          <w:color w:val="000000"/>
          <w:sz w:val="28"/>
        </w:rPr>
        <w:t>
      "48. Ранее принятое решение о предоставлении земельного участка либо ранее выданное разрешение на использование имеющегося у заказчика участка под строительство отзывается, если на этом участке ведется другое несанкционированное строительство.";</w:t>
      </w:r>
      <w:r>
        <w:br/>
      </w:r>
      <w:r>
        <w:rPr>
          <w:rFonts w:ascii="Times New Roman"/>
          <w:b w:val="false"/>
          <w:i w:val="false"/>
          <w:color w:val="000000"/>
          <w:sz w:val="28"/>
        </w:rPr>
        <w:t>
</w:t>
      </w:r>
      <w:r>
        <w:rPr>
          <w:rFonts w:ascii="Times New Roman"/>
          <w:b w:val="false"/>
          <w:i w:val="false"/>
          <w:color w:val="000000"/>
          <w:sz w:val="28"/>
        </w:rPr>
        <w:t>
      10) пункты 52, 53 и 54 изложить в следующей редакции:</w:t>
      </w:r>
      <w:r>
        <w:br/>
      </w:r>
      <w:r>
        <w:rPr>
          <w:rFonts w:ascii="Times New Roman"/>
          <w:b w:val="false"/>
          <w:i w:val="false"/>
          <w:color w:val="000000"/>
          <w:sz w:val="28"/>
        </w:rPr>
        <w:t>
      "52. Постановление акимата города Уральска о предоставлении (прирезке) земельного участка (разрешение на использование участка) под новое строительство либо разрешение на изменение существующих объектов является основанием для получения заказчиком либо его уполномоченным лицом (застройщиком) технических условий на подключение к источникам инженерного и коммунального обеспечения.</w:t>
      </w:r>
      <w:r>
        <w:br/>
      </w:r>
      <w:r>
        <w:rPr>
          <w:rFonts w:ascii="Times New Roman"/>
          <w:b w:val="false"/>
          <w:i w:val="false"/>
          <w:color w:val="000000"/>
          <w:sz w:val="28"/>
        </w:rPr>
        <w:t>
      53. На основании заявления поставщики услуг по инженерному и коммунальному обеспечению в течение пяти рабочих дней с момента подачи заявления выдают заказчику технические условия в пределах запрашиваемых (расчетных) параметров либо отказывают в выдаче технических условий в указанных параметрах.</w:t>
      </w:r>
      <w:r>
        <w:br/>
      </w:r>
      <w:r>
        <w:rPr>
          <w:rFonts w:ascii="Times New Roman"/>
          <w:b w:val="false"/>
          <w:i w:val="false"/>
          <w:color w:val="000000"/>
          <w:sz w:val="28"/>
        </w:rPr>
        <w:t>
      Отказ в выдаче технических условий может быть обжалован заявителем в порядке, предусмотренном законодательством Республики Казахстан.</w:t>
      </w:r>
      <w:r>
        <w:br/>
      </w:r>
      <w:r>
        <w:rPr>
          <w:rFonts w:ascii="Times New Roman"/>
          <w:b w:val="false"/>
          <w:i w:val="false"/>
          <w:color w:val="000000"/>
          <w:sz w:val="28"/>
        </w:rPr>
        <w:t>
      54. По заявлению заказчика местные органы архитектуры и градостроительства выдают заказчику архитектурно-планировочное задание на основании:</w:t>
      </w:r>
      <w:r>
        <w:br/>
      </w:r>
      <w:r>
        <w:rPr>
          <w:rFonts w:ascii="Times New Roman"/>
          <w:b w:val="false"/>
          <w:i w:val="false"/>
          <w:color w:val="000000"/>
          <w:sz w:val="28"/>
        </w:rPr>
        <w:t>
      1) постановления акимата города Уральска о предоставлении (прирезке) земельного участка (разрешение на использование участка) - для нового строительства;</w:t>
      </w:r>
      <w:r>
        <w:br/>
      </w:r>
      <w:r>
        <w:rPr>
          <w:rFonts w:ascii="Times New Roman"/>
          <w:b w:val="false"/>
          <w:i w:val="false"/>
          <w:color w:val="000000"/>
          <w:sz w:val="28"/>
        </w:rPr>
        <w:t>
      2) разрешения акимата города Уральска на изменение существующих объектов - для реконструкции (перепланировки, переоборудования);</w:t>
      </w:r>
      <w:r>
        <w:br/>
      </w:r>
      <w:r>
        <w:rPr>
          <w:rFonts w:ascii="Times New Roman"/>
          <w:b w:val="false"/>
          <w:i w:val="false"/>
          <w:color w:val="000000"/>
          <w:sz w:val="28"/>
        </w:rPr>
        <w:t>
      3) утвержденного задания на проектирование;</w:t>
      </w:r>
      <w:r>
        <w:br/>
      </w:r>
      <w:r>
        <w:rPr>
          <w:rFonts w:ascii="Times New Roman"/>
          <w:b w:val="false"/>
          <w:i w:val="false"/>
          <w:color w:val="000000"/>
          <w:sz w:val="28"/>
        </w:rPr>
        <w:t>
      4) технических условий на подключение к источникам инженерного и коммунального обеспечения.</w:t>
      </w:r>
      <w:r>
        <w:br/>
      </w:r>
      <w:r>
        <w:rPr>
          <w:rFonts w:ascii="Times New Roman"/>
          <w:b w:val="false"/>
          <w:i w:val="false"/>
          <w:color w:val="000000"/>
          <w:sz w:val="28"/>
        </w:rPr>
        <w:t>
      В необходимых случаях к заявлению прилагаются исходные материалы (данные), состав и объемы которых устанавливаются государственными нормативными документами в зависимости от назначения, параметров или местоположения будущего объекта.";</w:t>
      </w:r>
      <w:r>
        <w:br/>
      </w:r>
      <w:r>
        <w:rPr>
          <w:rFonts w:ascii="Times New Roman"/>
          <w:b w:val="false"/>
          <w:i w:val="false"/>
          <w:color w:val="000000"/>
          <w:sz w:val="28"/>
        </w:rPr>
        <w:t>
</w:t>
      </w:r>
      <w:r>
        <w:rPr>
          <w:rFonts w:ascii="Times New Roman"/>
          <w:b w:val="false"/>
          <w:i w:val="false"/>
          <w:color w:val="000000"/>
          <w:sz w:val="28"/>
        </w:rPr>
        <w:t>
      11) пункт 54 дополнить пунктом 54-1 следующего содержания:</w:t>
      </w:r>
      <w:r>
        <w:br/>
      </w:r>
      <w:r>
        <w:rPr>
          <w:rFonts w:ascii="Times New Roman"/>
          <w:b w:val="false"/>
          <w:i w:val="false"/>
          <w:color w:val="000000"/>
          <w:sz w:val="28"/>
        </w:rPr>
        <w:t>
      "54-1. Сроки рассмотрения заявлений на выдачу архитектурно-планировочного задания для проектирования объектов нового строительства не могут превышать пяти рабочих дней, а по заявлениям субъектов малого предпринимательства - не более трех рабочих дней с момента подачи заявления.</w:t>
      </w:r>
      <w:r>
        <w:br/>
      </w:r>
      <w:r>
        <w:rPr>
          <w:rFonts w:ascii="Times New Roman"/>
          <w:b w:val="false"/>
          <w:i w:val="false"/>
          <w:color w:val="000000"/>
          <w:sz w:val="28"/>
        </w:rPr>
        <w:t>
      Сроки рассмотрения представленных заявителями документов местным органом архитектуры и градостроительства для выдачи исходных данных и архитектурно-планировочного задания на разработку проекта изменения (реконструкции, перепланировки, переоборудования) помещений или иных частей жилого здания (или мотивированного отказа в их выдаче) не должны превышать трех рабочих дней с момента подачи заявления.";</w:t>
      </w:r>
      <w:r>
        <w:br/>
      </w:r>
      <w:r>
        <w:rPr>
          <w:rFonts w:ascii="Times New Roman"/>
          <w:b w:val="false"/>
          <w:i w:val="false"/>
          <w:color w:val="000000"/>
          <w:sz w:val="28"/>
        </w:rPr>
        <w:t>
</w:t>
      </w:r>
      <w:r>
        <w:rPr>
          <w:rFonts w:ascii="Times New Roman"/>
          <w:b w:val="false"/>
          <w:i w:val="false"/>
          <w:color w:val="000000"/>
          <w:sz w:val="28"/>
        </w:rPr>
        <w:t>
      12) в пункте 59:</w:t>
      </w:r>
      <w:r>
        <w:br/>
      </w:r>
      <w:r>
        <w:rPr>
          <w:rFonts w:ascii="Times New Roman"/>
          <w:b w:val="false"/>
          <w:i w:val="false"/>
          <w:color w:val="000000"/>
          <w:sz w:val="28"/>
        </w:rPr>
        <w:t>
      слова "Не допускается установление в архитектурно-планировочном задании требований или условий на проведение экспертизы по проектам:" заменить словами "По решению, принимаемому заказчиком (собственником), экспертиза может не проводиться по проектам:";</w:t>
      </w:r>
      <w:r>
        <w:br/>
      </w:r>
      <w:r>
        <w:rPr>
          <w:rFonts w:ascii="Times New Roman"/>
          <w:b w:val="false"/>
          <w:i w:val="false"/>
          <w:color w:val="000000"/>
          <w:sz w:val="28"/>
        </w:rPr>
        <w:t>
</w:t>
      </w:r>
      <w:r>
        <w:rPr>
          <w:rFonts w:ascii="Times New Roman"/>
          <w:b w:val="false"/>
          <w:i w:val="false"/>
          <w:color w:val="000000"/>
          <w:sz w:val="28"/>
        </w:rPr>
        <w:t>
      абзац четырнадцать исключить;</w:t>
      </w:r>
      <w:r>
        <w:br/>
      </w:r>
      <w:r>
        <w:rPr>
          <w:rFonts w:ascii="Times New Roman"/>
          <w:b w:val="false"/>
          <w:i w:val="false"/>
          <w:color w:val="000000"/>
          <w:sz w:val="28"/>
        </w:rPr>
        <w:t>
</w:t>
      </w:r>
      <w:r>
        <w:rPr>
          <w:rFonts w:ascii="Times New Roman"/>
          <w:b w:val="false"/>
          <w:i w:val="false"/>
          <w:color w:val="000000"/>
          <w:sz w:val="28"/>
        </w:rPr>
        <w:t>
      13) пункт 62 дополнить пунктом 62-1 следующего содержания:</w:t>
      </w:r>
      <w:r>
        <w:br/>
      </w:r>
      <w:r>
        <w:rPr>
          <w:rFonts w:ascii="Times New Roman"/>
          <w:b w:val="false"/>
          <w:i w:val="false"/>
          <w:color w:val="000000"/>
          <w:sz w:val="28"/>
        </w:rPr>
        <w:t>
      "62-1. Разработчики проекта изменений, вносимых в существующие (эксплуатируемые) объекты, должны указывать в проектной документации сведения о наличии или отсутствии проектных решений, затрагивающих интересы других собственников как в процессе работ по изменению помещений или иных частей здания, так и при последующей эксплуатации измененного объекта.</w:t>
      </w:r>
      <w:r>
        <w:br/>
      </w:r>
      <w:r>
        <w:rPr>
          <w:rFonts w:ascii="Times New Roman"/>
          <w:b w:val="false"/>
          <w:i w:val="false"/>
          <w:color w:val="000000"/>
          <w:sz w:val="28"/>
        </w:rPr>
        <w:t>
      В случаях если планируемая реконструкция (перепланировка, переоборудование) помещений (частей жилого дома) или перенос границ помещений затрагивает интересы других собственников (сособственников), то к проекту должно быть приложено нотариально засвидетельствованное их письменное согласие на эти изменения.".</w:t>
      </w:r>
      <w:r>
        <w:br/>
      </w:r>
      <w:r>
        <w:rPr>
          <w:rFonts w:ascii="Times New Roman"/>
          <w:b w:val="false"/>
          <w:i w:val="false"/>
          <w:color w:val="000000"/>
          <w:sz w:val="28"/>
        </w:rPr>
        <w:t>
</w:t>
      </w:r>
      <w:r>
        <w:rPr>
          <w:rFonts w:ascii="Times New Roman"/>
          <w:b w:val="false"/>
          <w:i w:val="false"/>
          <w:color w:val="000000"/>
          <w:sz w:val="28"/>
        </w:rPr>
        <w:t>
      2. Решение Уральского городского маслихата от 31 марта 2009 года N 15-13 "О внесении изменений и дополнений в решение Уральского городского маслихата от 30 октября 2007 года N 3-7 "О "Правилах застройки территории города Уральска" отменить.</w:t>
      </w:r>
      <w:r>
        <w:br/>
      </w:r>
      <w:r>
        <w:rPr>
          <w:rFonts w:ascii="Times New Roman"/>
          <w:b w:val="false"/>
          <w:i w:val="false"/>
          <w:color w:val="000000"/>
          <w:sz w:val="28"/>
        </w:rPr>
        <w:t>
</w:t>
      </w:r>
      <w:r>
        <w:rPr>
          <w:rFonts w:ascii="Times New Roman"/>
          <w:b w:val="false"/>
          <w:i w:val="false"/>
          <w:color w:val="000000"/>
          <w:sz w:val="28"/>
        </w:rPr>
        <w:t>
      3. Данное решение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19-ой очередной сессии</w:t>
      </w:r>
      <w:r>
        <w:br/>
      </w:r>
      <w:r>
        <w:rPr>
          <w:rFonts w:ascii="Times New Roman"/>
          <w:b w:val="false"/>
          <w:i w:val="false"/>
          <w:color w:val="000000"/>
          <w:sz w:val="28"/>
        </w:rPr>
        <w:t>
</w:t>
      </w:r>
      <w:r>
        <w:rPr>
          <w:rFonts w:ascii="Times New Roman"/>
          <w:b w:val="false"/>
          <w:i/>
          <w:color w:val="000000"/>
          <w:sz w:val="28"/>
        </w:rPr>
        <w:t>      Уральского городского маслихата</w:t>
      </w:r>
    </w:p>
    <w:p>
      <w:pPr>
        <w:spacing w:after="0"/>
        <w:ind w:left="0"/>
        <w:jc w:val="both"/>
      </w:pPr>
      <w:r>
        <w:rPr>
          <w:rFonts w:ascii="Times New Roman"/>
          <w:b w:val="false"/>
          <w:i/>
          <w:color w:val="000000"/>
          <w:sz w:val="28"/>
        </w:rPr>
        <w:t>      Исполняющий обязанности секретаря</w:t>
      </w:r>
      <w:r>
        <w:br/>
      </w:r>
      <w:r>
        <w:rPr>
          <w:rFonts w:ascii="Times New Roman"/>
          <w:b w:val="false"/>
          <w:i w:val="false"/>
          <w:color w:val="000000"/>
          <w:sz w:val="28"/>
        </w:rPr>
        <w:t>
</w:t>
      </w:r>
      <w:r>
        <w:rPr>
          <w:rFonts w:ascii="Times New Roman"/>
          <w:b w:val="false"/>
          <w:i/>
          <w:color w:val="000000"/>
          <w:sz w:val="28"/>
        </w:rPr>
        <w:t>      Уральского городского маслихата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