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a74b" w14:textId="54a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банками-кастодианами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127. Зарегистрировано в Министерстве юстиции Республики Казахстан 13 октября 2010 года № 6557.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усовершенствования форм отчетности, представляемых банками-кастодианами накопительных пенсионных фондов (далее - Банк кастодиан),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банками-кастодианами накопительных пенсионных фондов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декабря 2001 года № 477 "Об отчетности банками-кастодианов накопительных пенсионных фондов" (зарегистрированное в Реестре государственной регистрации нормативных правовых актов под № 1728, опубликованное в 2002 году в Бюллетене нормативных правовых актов центральных исполнительных и иных государственных органов Республики Казахстан, № 12, ст. 564);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марта 2003 года № 91 "О внесении изменений и дополнений в постановление Правления Национального Банка Республики Казахстан от 1 декабря 2001 года № 477 "Об отчетности банков-кастодианов накопительных пенсионных фондов", зарегистрированное в Министерстве юстиции Республики Казахстан под № 1728" (зарегистрированное в Реестре государственной регистрации нормативных правовых актов под № 2245);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декабря 2004 года № 385 "О внесении изменений и дополнений в постановление Правления Национального Банка Республики Казахстан от 1 декабря 2001 года № 477 "Об отчетности банков-кастодианов накопительных пенсионных фондов" (зарегистрированное в Реестре государственной регистрации нормативных правовых актов под № 3386).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 К.А.) в срок до 31 декабря 2010 года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127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отчетности банками-кастодианами</w:t>
      </w:r>
      <w:r>
        <w:br/>
      </w:r>
      <w:r>
        <w:rPr>
          <w:rFonts w:ascii="Times New Roman"/>
          <w:b/>
          <w:i w:val="false"/>
          <w:color w:val="000000"/>
        </w:rPr>
        <w:t>
накопительных пенсионных фондов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c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 и устанавливают перечень, формы, сроки и порядок представления отчетности банками-кастодианами накопительных пенсионных фондов в уполномоченный орган по регулированию и надзору финансового рынка и финансовых организаций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Банк-кастодиану представлять в уполномоченный орган отчетность, включающую: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 движении пенсионных активов по инвестиционному счету в национальной валюте (за каждый отдельный рабочий день истекшего месяца, с указанием итоговых сумм по всем позициям за отчетный месяц),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структуре инвестиционного портфеля пенсионных активов (по состоянию на конец последнего календарного дня истекшего месяца),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пенсионных активов по валютному инвестиционному счету при наличии и движении денег по валютным инвестиционным счетам (за каждый отдельный рабочий день истекшего месяца, с указанием итоговых сумм по всем позициям за отчетный месяц),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о начисленных и выплаченных комиссионных вознаграждениях (за каждый отдельный календарный день истекшего месяца),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3. Банк-кастодиан представляет отчетность, предусмотренную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 не позднее 18:00 часов времени города Астаны пятого рабочего дня месяца, следующего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Банк-кастодиан представляет отчетность в разрезе каждого отдельного накопительного пенсионного фонда, чьи пенсионные активы приняты на хранение (учет), по каждому виду инвестиционного портфеля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на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в редакции постановления Правления Национального Банка РК от 24.02.2012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01.07.2012).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Отчетность на бумажном носителе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состоянию на отчетную дату подписывается первым руководителем (на период его отсутствия - лицом, его замещающим), главным бухгалтером банк-кастодиана, заверяется печатью и хранится в банке-кастодиане.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банк-кастодиан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Идентичность данных, представляемых на электронном носителе, данным на бумажном носителе обеспечивается первым руководителем банка-кастодиана (на период его отсутствия -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Отчетность, содержащая исправления и подчистки, подлежит возврату банку-кастодиану.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внесения изменений и (или) дополнений в отчетность, банк-кастодиан в течение трех рабочих дней со дня представления отчетности,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банком-кастодианом, уполномоченный орган уведомляет об этом банк-кастодиан. Банк-кастодиан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отчетности уполномоченный орган при необходимости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регулировании запрашивает у банка-кастодиана сведения и документы, необходимые для проверки информации, указанной в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Суммы, не подлежащие отражению в отчетах по форме,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включаются в графы "Прочие поступления/Прочие расходы" указанных отчетов с внесением в них соответствующих поясняющих ссылок-примечаний.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банками-кастодианами накопительных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постановления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01.07.2012).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банка-кастодиана)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пенсионных активов по инвестиционному счету</w:t>
      </w:r>
      <w:r>
        <w:br/>
      </w:r>
      <w:r>
        <w:rPr>
          <w:rFonts w:ascii="Times New Roman"/>
          <w:b/>
          <w:i w:val="false"/>
          <w:color w:val="000000"/>
        </w:rPr>
        <w:t>
в национальной валюте</w:t>
      </w:r>
      <w:r>
        <w:br/>
      </w:r>
      <w:r>
        <w:rPr>
          <w:rFonts w:ascii="Times New Roman"/>
          <w:b/>
          <w:i w:val="false"/>
          <w:color w:val="000000"/>
        </w:rPr>
        <w:t>
№ (номер счета)</w:t>
      </w:r>
      <w:r>
        <w:br/>
      </w:r>
      <w:r>
        <w:rPr>
          <w:rFonts w:ascii="Times New Roman"/>
          <w:b/>
          <w:i w:val="false"/>
          <w:color w:val="000000"/>
        </w:rPr>
        <w:t>
(наименование накопительного пенсионного фонда)</w:t>
      </w:r>
      <w:r>
        <w:br/>
      </w:r>
      <w:r>
        <w:rPr>
          <w:rFonts w:ascii="Times New Roman"/>
          <w:b/>
          <w:i w:val="false"/>
          <w:color w:val="000000"/>
        </w:rPr>
        <w:t>
за период с (дата в формате дд.мм.гг) по (дата в формате дд.мм.гг)</w:t>
      </w:r>
    </w:p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Часть 1. Приход (кредит счета)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тенге, с двумя знаками после запятой)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51"/>
        <w:gridCol w:w="444"/>
        <w:gridCol w:w="2279"/>
        <w:gridCol w:w="1572"/>
        <w:gridCol w:w="1591"/>
        <w:gridCol w:w="2586"/>
        <w:gridCol w:w="1726"/>
        <w:gridCol w:w="961"/>
      </w:tblGrid>
      <w:tr>
        <w:trPr>
          <w:trHeight w:val="72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761"/>
        <w:gridCol w:w="1553"/>
        <w:gridCol w:w="1438"/>
        <w:gridCol w:w="1857"/>
        <w:gridCol w:w="1382"/>
        <w:gridCol w:w="2028"/>
        <w:gridCol w:w="1135"/>
        <w:gridCol w:w="906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Часть 2. Расход (дебет счета)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тенге, с двумя знаками после запятой)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61"/>
        <w:gridCol w:w="1006"/>
        <w:gridCol w:w="1095"/>
        <w:gridCol w:w="1011"/>
        <w:gridCol w:w="1255"/>
        <w:gridCol w:w="1227"/>
        <w:gridCol w:w="1492"/>
        <w:gridCol w:w="1250"/>
        <w:gridCol w:w="941"/>
        <w:gridCol w:w="831"/>
        <w:gridCol w:w="1163"/>
      </w:tblGrid>
      <w:tr>
        <w:trPr>
          <w:trHeight w:val="19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го: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имя,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«___»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столбцу 18 части 1, итоговые суммы поступлений за каждый рабочий день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столбцам 5 и 6 части 2, указываются суммы выплаченного комиссионного вознаграждения накопительному пенсионному фонду и организации, осуществляющей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столбцу 12 части 2, итоговые суммы расходов за каждый рабочий день отчетного периода.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банками-кастодианами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в редакции постановления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01.07.2012).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банка-кастодиана)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о структуре инвестиционного портфеля пенсионных активов</w:t>
      </w:r>
      <w:r>
        <w:br/>
      </w:r>
      <w:r>
        <w:rPr>
          <w:rFonts w:ascii="Times New Roman"/>
          <w:b/>
          <w:i w:val="false"/>
          <w:color w:val="000000"/>
        </w:rPr>
        <w:t>
(наименование накопительного пенсионного фонда)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«__» __________ 20__ года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разрешенные к приобретению за счет пенсионных активов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541"/>
        <w:gridCol w:w="1115"/>
        <w:gridCol w:w="964"/>
        <w:gridCol w:w="1223"/>
        <w:gridCol w:w="1310"/>
        <w:gridCol w:w="1656"/>
        <w:gridCol w:w="2024"/>
        <w:gridCol w:w="2046"/>
      </w:tblGrid>
      <w:tr>
        <w:trPr>
          <w:trHeight w:val="7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(ISIN)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1: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258"/>
        <w:gridCol w:w="957"/>
        <w:gridCol w:w="1580"/>
        <w:gridCol w:w="958"/>
        <w:gridCol w:w="1516"/>
        <w:gridCol w:w="1687"/>
        <w:gridCol w:w="1452"/>
        <w:gridCol w:w="1388"/>
      </w:tblGrid>
      <w:tr>
        <w:trPr>
          <w:trHeight w:val="630" w:hRule="atLeast"/>
        </w:trPr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(–)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имя,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«___»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строкам 15, 16 суммарная текущая стоимость (в тенге) указывается без учета суммарного начисленного вознаграждения (интерес).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Ценные бумаги, приобретенные по операциям «обратного «Репо»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230"/>
        <w:gridCol w:w="1225"/>
        <w:gridCol w:w="1252"/>
        <w:gridCol w:w="1321"/>
        <w:gridCol w:w="1054"/>
        <w:gridCol w:w="1474"/>
        <w:gridCol w:w="1607"/>
        <w:gridCol w:w="1378"/>
      </w:tblGrid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 бумаги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 бумаги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(ISIN)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Части 2: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524"/>
        <w:gridCol w:w="1071"/>
        <w:gridCol w:w="826"/>
        <w:gridCol w:w="1257"/>
        <w:gridCol w:w="1049"/>
        <w:gridCol w:w="1411"/>
        <w:gridCol w:w="1468"/>
        <w:gridCol w:w="1506"/>
        <w:gridCol w:w="1242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 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(+),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снижение(-)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тенге)(3)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(рейтинг)</w:t>
            </w:r>
          </w:p>
        </w:tc>
      </w:tr>
      <w:tr>
        <w:trPr>
          <w:trHeight w:val="69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мм.гг)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мм.гг)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«___»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Вклады в банках второго уровня и Национальном Банке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218"/>
        <w:gridCol w:w="1008"/>
        <w:gridCol w:w="1353"/>
        <w:gridCol w:w="1678"/>
        <w:gridCol w:w="2283"/>
        <w:gridCol w:w="1073"/>
        <w:gridCol w:w="1743"/>
        <w:gridCol w:w="987"/>
      </w:tblGrid>
      <w:tr>
        <w:trPr>
          <w:trHeight w:val="34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3: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2319"/>
        <w:gridCol w:w="1854"/>
        <w:gridCol w:w="1071"/>
        <w:gridCol w:w="2383"/>
        <w:gridCol w:w="2468"/>
        <w:gridCol w:w="1369"/>
      </w:tblGrid>
      <w:tr>
        <w:trPr>
          <w:trHeight w:val="57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(5)+(7)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</w:p>
        </w:tc>
      </w:tr>
      <w:tr>
        <w:trPr>
          <w:trHeight w:val="22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6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 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имя, 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«___»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рыночные курсы обмена валют на отчетные даты, использованные в настоящем отчете (коды валют указываются по классификации S.W.I.F.T.)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Условные требования (обязательства)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953"/>
        <w:gridCol w:w="1303"/>
        <w:gridCol w:w="1770"/>
        <w:gridCol w:w="1537"/>
        <w:gridCol w:w="1731"/>
      </w:tblGrid>
      <w:tr>
        <w:trPr>
          <w:trHeight w:val="12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форвардов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«пут»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– 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печати.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Аффинированные драгоценные металлы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199"/>
        <w:gridCol w:w="1309"/>
        <w:gridCol w:w="1139"/>
        <w:gridCol w:w="1139"/>
        <w:gridCol w:w="951"/>
        <w:gridCol w:w="951"/>
        <w:gridCol w:w="1140"/>
        <w:gridCol w:w="1140"/>
        <w:gridCol w:w="1147"/>
        <w:gridCol w:w="1506"/>
      </w:tblGrid>
      <w:tr>
        <w:trPr>
          <w:trHeight w:val="7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5: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 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имя, 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«___»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столбцам 11 и 12, указывается цена с точностью до четырех знаков после запятой, отраженная в первичном документе, который подтверждает совершение сделки (биржевое свидетельство, отчет брокера-дилера, подтверждение, полученное по системе S.W.I.F.T., иной возможный первичный документ), с учетом выплаченного продавцу вознаграждения (интереса). В случае оплаты приобретенной ценной бумаги в иностранной валюте заполняется столбец 11, в столбце 12 данная сумма отражается по рыночному курсу обмена валют на отчетную дату. В случае оплаты приобретенной ценной бумаги в национальной валюте заполняется столбец 12, столбец 11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Столбцы 13-16, 17, заполняется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15, указываются сведения на конец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16, указываются сведения на конец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Строка «Итого», заполняется по каждому виду и эмитенту ценной бумаги (например, «Итого по МЕККАМ-3», «Итого по МЕККАМ-6»).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«долгосрочные ценные бумаги», указываются сведения в случае, если период с отчетной даты до даты погашения составляет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строке «Краткосрочные ценные бумаги», указываются сведения в случае, если период с отчетной даты до даты погашения не превышает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Столбцы 14, 15, 17 и 18, заполняется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17, указываются сведения на конец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18, указываются сведения на конец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Строка «Итого», заполняется по каждому виду и эмитенту ценной бумаги (например, «Итого по МЕККАМ-3», «Итого по МЕККАМ-6»).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строке «долгосрочные ценные бумаги», указываются сведения в случае, если период с отчетной даты до даты погашения составляет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«Краткосрочные ценные бумаги», указываются сведения в случае, если период с отчетной даты до даты погашения не превышает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столбцам 10-13, указывается цена с точностью до четырех знаков после запятой, отраженная в первичном документе, который подтверждает осуществление операции «обратного «репо». В случае оплаты приобретенной ценной бумаги в иностранной валюте заполняются столбцы 10 и 12, в столбцах 11 и 13 данные суммы отражаются по рыночному курсу обмена валют на отчетную дату. В случае оплаты приобретенной ценной бумаги в национальной валюте заполняются столбцы 11 и 13, столбцы 10 и 12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Столбцы 7, 9, 10, заполняется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столбцах 6, 7, сумма размещения на депозит с точностью до двух знаков после запятой. В случае размещения на депозит в иностранной валюте заполняется графа 6, в графе 7 данная сумма отражается по рыночному курсу обмена валют на отчетную дату. В случае размещения на вклады в национальной валюте заполняется графа 7, графа 6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столбцах 8, 9, сумма с точностью до двух знаков после запятой с даты депонирования (с даты, следующей за окончанием периода, за который было получено последнее вознаграждение (интерес)). В случае номинирования вознаграждения (интереса) по депозиту в иностранной валюте заполняется графа 8, в графе 9 данная сумма отражается по рыночному курсу обмена валют на отчетную дату. В случае номинирования вознаграждения (интереса) по депозиту в национальной валюте заполняется графа 9, графа 8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11, дата зачисления суммы депозита, подтвержденная уведомлением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Столбец 13, заполняется в соответствии с условиями депозитного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Столбец 15, заполняется по каждому банку и по каждой отдельной валюте депонирования.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банками-кастодианами накопительных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банка-кастодиана)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 движении пенсионных активов по валютному инвестиционному счету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 (номер счета) в (наименование иностранной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(сокращенное наименование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родительном падеже) за период с (дата в формате дд.мм.гг)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(дата в формате дд.мм.гг)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Часть 1. Приход (кредит счета)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(с двумя знаками после запятой)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401"/>
        <w:gridCol w:w="1065"/>
        <w:gridCol w:w="1378"/>
        <w:gridCol w:w="1177"/>
        <w:gridCol w:w="909"/>
        <w:gridCol w:w="1043"/>
        <w:gridCol w:w="1625"/>
        <w:gridCol w:w="1200"/>
        <w:gridCol w:w="1826"/>
        <w:gridCol w:w="1179"/>
      </w:tblGrid>
      <w:tr>
        <w:trPr>
          <w:trHeight w:val="36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возврата по вкладам в банках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депозитов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банках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338"/>
        <w:gridCol w:w="2812"/>
        <w:gridCol w:w="2295"/>
        <w:gridCol w:w="1671"/>
        <w:gridCol w:w="2167"/>
        <w:gridCol w:w="1328"/>
      </w:tblGrid>
      <w:tr>
        <w:trPr>
          <w:trHeight w:val="36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тенге, по курсу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  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Часть 2. Расход (дебет счета)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(с двумя знаками после запятой)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19"/>
        <w:gridCol w:w="958"/>
        <w:gridCol w:w="1096"/>
        <w:gridCol w:w="981"/>
        <w:gridCol w:w="1050"/>
        <w:gridCol w:w="1442"/>
        <w:gridCol w:w="1327"/>
        <w:gridCol w:w="821"/>
        <w:gridCol w:w="1143"/>
        <w:gridCol w:w="798"/>
        <w:gridCol w:w="1212"/>
        <w:gridCol w:w="891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Справочно:         рыночные курсы обмена валют на отчетные даты,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использованные в настоящем отчете (коды валют указываются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S.W.I.F.T.)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(фамилия и имя)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 и имя)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  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и движении нескольких валют отчет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отдельно по каждой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Итоговые суммы поступлений за каждый рабочий день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Итоговые суммы расходов за каждый рабочий день отчетного периода.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банками-кастодианами накопительных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 банка-кастодиана)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начисленных и выплаченных комиссионных вознаграждениях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(сокращенное наименование накопительного пенсионного фонда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родительном падеже) и (сокращенное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осуществляющей инвестиционное управление пенсионными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родительном падеже)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(наименование месяца) (цифровое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обозначение календарного года)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(в тенге, с двумя знаками после запятой)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122"/>
        <w:gridCol w:w="1699"/>
        <w:gridCol w:w="1053"/>
        <w:gridCol w:w="799"/>
        <w:gridCol w:w="1191"/>
        <w:gridCol w:w="984"/>
        <w:gridCol w:w="822"/>
        <w:gridCol w:w="1261"/>
        <w:gridCol w:w="1007"/>
        <w:gridCol w:w="707"/>
        <w:gridCol w:w="1216"/>
        <w:gridCol w:w="1332"/>
      </w:tblGrid>
      <w:tr>
        <w:trPr>
          <w:trHeight w:val="16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пенсионных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(2+3)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НПФ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ООИУПА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(5+6)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НПФ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ООИУПА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(8+9)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НПФ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ООИУПА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(11+12)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мм.гг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  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Данная строка не заполняется при самостоятельном осуществлении ЗАО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"Государственный накопительный пенсионный фонд"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инвестиционному управлению своими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итоговые суммы по всем позициям за отчетный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начисленных и выплаченных комиссионных вознаграждениях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 инвестиционное управление пенсионными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активами, заполняется при ее наличии у банка-кастодиана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